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236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236335"/>
                    </a:xfrm>
                    <a:prstGeom prst="rect">
                      <a:avLst/>
                    </a:prstGeom>
                    <a:noFill/>
                  </pic:spPr>
                </pic:pic>
              </a:graphicData>
            </a:graphic>
          </wp:anchor>
        </w:drawing>
      </w:r>
    </w:p>
    <w:p>
      <w:pPr>
        <w:spacing w:after="0" w:line="1285" w:lineRule="exact"/>
        <w:rPr>
          <w:sz w:val="24"/>
          <w:szCs w:val="24"/>
          <w:color w:val="auto"/>
        </w:rPr>
      </w:pPr>
    </w:p>
    <w:p>
      <w:pPr>
        <w:sectPr>
          <w:pgSz w:w="11900" w:h="16870"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Klein Frank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3881 MCGOWEN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Rocket Lab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RKLB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333" w:lineRule="exact"/>
        <w:rPr>
          <w:sz w:val="24"/>
          <w:szCs w:val="24"/>
          <w:color w:val="auto"/>
        </w:rPr>
      </w:pPr>
    </w:p>
    <w:p>
      <w:pPr>
        <w:sectPr>
          <w:pgSz w:w="11900" w:h="16870" w:orient="portrait"/>
          <w:cols w:equalWidth="0" w:num="3">
            <w:col w:w="3200" w:space="720"/>
            <w:col w:w="3095" w:space="720"/>
            <w:col w:w="3265"/>
          </w:cols>
          <w:pgMar w:left="460" w:top="219" w:right="439" w:bottom="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140" w:type="dxa"/>
            <w:vAlign w:val="bottom"/>
          </w:tcPr>
          <w:p>
            <w:pPr>
              <w:spacing w:after="0"/>
              <w:rPr>
                <w:sz w:val="3"/>
                <w:szCs w:val="3"/>
                <w:color w:val="auto"/>
              </w:rPr>
            </w:pPr>
          </w:p>
        </w:tc>
        <w:tc>
          <w:tcPr>
            <w:tcW w:w="3760" w:type="dxa"/>
            <w:vAlign w:val="bottom"/>
            <w:gridSpan w:val="5"/>
            <w:vMerge w:val="restart"/>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760" w:type="dxa"/>
            <w:vAlign w:val="bottom"/>
            <w:gridSpan w:val="5"/>
            <w:vMerge w:val="continue"/>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90808</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0" w:type="dxa"/>
            <w:vAlign w:val="bottom"/>
            <w:gridSpan w:val="4"/>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0" w:type="dxa"/>
            <w:vAlign w:val="bottom"/>
            <w:gridSpan w:val="4"/>
          </w:tcPr>
          <w:p>
            <w:pPr>
              <w:ind w:left="8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ind w:left="8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8"/>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9"/>
          </w:tcPr>
          <w:p>
            <w:pPr>
              <w:jc w:val="right"/>
              <w:ind w:right="36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52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2"/>
          </w:tcPr>
          <w:p>
            <w:pPr>
              <w:ind w:left="9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2"/>
          </w:tcPr>
          <w:p>
            <w:pPr>
              <w:jc w:val="center"/>
              <w:ind w:left="8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5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143.0543</w:t>
            </w:r>
            <w:r>
              <w:rPr>
                <w:rFonts w:ascii="Times New Roman" w:cs="Times New Roman" w:eastAsia="Times New Roman" w:hAnsi="Times New Roman"/>
                <w:sz w:val="22"/>
                <w:szCs w:val="22"/>
                <w:color w:val="008000"/>
                <w:w w:val="95"/>
                <w:vertAlign w:val="superscript"/>
              </w:rPr>
              <w:t>(2)</w:t>
            </w:r>
          </w:p>
        </w:tc>
        <w:tc>
          <w:tcPr>
            <w:tcW w:w="10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1,043,147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2,700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144.1495</w:t>
            </w:r>
            <w:r>
              <w:rPr>
                <w:rFonts w:ascii="Times New Roman" w:cs="Times New Roman" w:eastAsia="Times New Roman" w:hAnsi="Times New Roman"/>
                <w:sz w:val="22"/>
                <w:szCs w:val="22"/>
                <w:color w:val="008000"/>
                <w:w w:val="95"/>
                <w:vertAlign w:val="superscript"/>
              </w:rPr>
              <w:t>(3)</w:t>
            </w:r>
          </w:p>
        </w:tc>
        <w:tc>
          <w:tcPr>
            <w:tcW w:w="10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1,040,447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1,600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145.2306</w:t>
            </w:r>
            <w:r>
              <w:rPr>
                <w:rFonts w:ascii="Times New Roman" w:cs="Times New Roman" w:eastAsia="Times New Roman" w:hAnsi="Times New Roman"/>
                <w:sz w:val="22"/>
                <w:szCs w:val="22"/>
                <w:color w:val="008000"/>
                <w:w w:val="95"/>
                <w:vertAlign w:val="superscript"/>
              </w:rPr>
              <w:t>(4)</w:t>
            </w:r>
          </w:p>
        </w:tc>
        <w:tc>
          <w:tcPr>
            <w:tcW w:w="10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1,038,847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146.271</w:t>
            </w:r>
            <w:r>
              <w:rPr>
                <w:rFonts w:ascii="Times New Roman" w:cs="Times New Roman" w:eastAsia="Times New Roman" w:hAnsi="Times New Roman"/>
                <w:sz w:val="22"/>
                <w:szCs w:val="22"/>
                <w:color w:val="008000"/>
                <w:w w:val="95"/>
                <w:vertAlign w:val="superscript"/>
              </w:rPr>
              <w:t>(5)</w:t>
            </w:r>
          </w:p>
        </w:tc>
        <w:tc>
          <w:tcPr>
            <w:tcW w:w="10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1,034,847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9,909</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147.1321</w:t>
            </w:r>
            <w:r>
              <w:rPr>
                <w:rFonts w:ascii="Times New Roman" w:cs="Times New Roman" w:eastAsia="Times New Roman" w:hAnsi="Times New Roman"/>
                <w:sz w:val="22"/>
                <w:szCs w:val="22"/>
                <w:color w:val="008000"/>
                <w:w w:val="95"/>
                <w:vertAlign w:val="superscript"/>
              </w:rPr>
              <w:t>(6)</w:t>
            </w:r>
          </w:p>
        </w:tc>
        <w:tc>
          <w:tcPr>
            <w:tcW w:w="10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1,024,938</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8,694</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148.1298</w:t>
            </w:r>
            <w:r>
              <w:rPr>
                <w:rFonts w:ascii="Times New Roman" w:cs="Times New Roman" w:eastAsia="Times New Roman" w:hAnsi="Times New Roman"/>
                <w:sz w:val="22"/>
                <w:szCs w:val="22"/>
                <w:color w:val="008000"/>
                <w:w w:val="95"/>
                <w:vertAlign w:val="superscript"/>
              </w:rPr>
              <w:t>(7)</w:t>
            </w:r>
          </w:p>
        </w:tc>
        <w:tc>
          <w:tcPr>
            <w:tcW w:w="10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1,016,244</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7,848</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149.0947</w:t>
            </w:r>
            <w:r>
              <w:rPr>
                <w:rFonts w:ascii="Times New Roman" w:cs="Times New Roman" w:eastAsia="Times New Roman" w:hAnsi="Times New Roman"/>
                <w:sz w:val="22"/>
                <w:szCs w:val="22"/>
                <w:color w:val="008000"/>
                <w:w w:val="95"/>
                <w:vertAlign w:val="superscript"/>
              </w:rPr>
              <w:t>(8)</w:t>
            </w:r>
          </w:p>
        </w:tc>
        <w:tc>
          <w:tcPr>
            <w:tcW w:w="10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1,008,396</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05/28/2026</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1,409</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149.9896</w:t>
            </w:r>
            <w:r>
              <w:rPr>
                <w:rFonts w:ascii="Times New Roman" w:cs="Times New Roman" w:eastAsia="Times New Roman" w:hAnsi="Times New Roman"/>
                <w:sz w:val="22"/>
                <w:szCs w:val="22"/>
                <w:color w:val="008000"/>
                <w:w w:val="95"/>
                <w:vertAlign w:val="superscript"/>
              </w:rPr>
              <w:t>(9)</w:t>
            </w:r>
          </w:p>
        </w:tc>
        <w:tc>
          <w:tcPr>
            <w:tcW w:w="10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1,006,987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shares which occurred automatically pursuant to a Rule 10b5-1 trading plan adopted by the Reporting Person on September 19, 2025.</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$142.5900 to $143.4600.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$143.5900 to $144.5800.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$144.6200 to $145.6000.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$145.6200 to $146.5900.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$146.6300 to $147.6200.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$147.6300 to $148.6100.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$148.6400 to $149.6300. The Reporting Person undertakes to provide the Registrant, any securityholder of the Registrant, or the Staff of the Securities and Exchange Commission, upon request, full information regarding the number of shares sold at each separate price</w:t>
      </w:r>
    </w:p>
    <w:p>
      <w:pPr>
        <w:sectPr>
          <w:pgSz w:w="11900" w:h="16870"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within the range set forth in this footnote.</w:t>
      </w:r>
    </w:p>
    <w:p>
      <w:pPr>
        <w:spacing w:after="0" w:line="50"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$149.7600 to $150.4500.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Arjun Kampani,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1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Frank</w:t>
        <w:tab/>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7530" TargetMode="External"/><Relationship Id="rId14" Type="http://schemas.openxmlformats.org/officeDocument/2006/relationships/hyperlink" Target="http://www.sec.gov/cgi-bin/browse-edgar?action=getcompany&amp;CIK=0001819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2026-06-01T18:20:39Z</dcterms:created>
  <dcterms:modified xsi:type="dcterms:W3CDTF">2026-06-01T18:20:39Z</dcterms:modified>
</cp:coreProperties>
</file>