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g085841_8k.htm"/>
      <w:bookmarkStart w:id="1" w:name="ksg085841_8k"/>
      <w:bookmarkEnd w:id="0"/>
      <w:bookmarkEnd w:id="1"/>
      <w:r>
        <w:rPr/>
        <w:t> </w:t>
      </w:r>
    </w:p>
    <w:p>
      <w:pPr>
        <w:pStyle w:val="TextBody"/>
        <w:bidi w:val="0"/>
        <w:spacing w:before="60" w:after="60"/>
        <w:jc w:val="left"/>
        <w:rPr>
          <w:bdr w:val="single" w:sz="32" w:space="1" w:color="000000"/>
        </w:rPr>
      </w:pPr>
      <w:r>
        <w:rPr>
          <w:bdr w:val="single" w:sz="32"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Pursuant to Section 13 or 15(d) of the Securities Exchange Act of 1934</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Date of Report (Date of earliest event reported): August 13,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48"/>
        </w:rPr>
      </w:pPr>
      <w:r>
        <w:rPr>
          <w:rFonts w:ascii="Times New Roman;Times;Serif" w:hAnsi="Times New Roman;Times;Serif"/>
          <w:b/>
          <w:i w:val="false"/>
          <w:caps w:val="false"/>
          <w:smallCaps w:val="false"/>
          <w:sz w:val="48"/>
        </w:rPr>
        <w:t>ROCKET LAB CORPORATION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tbl>
      <w:tblPr>
        <w:tblW w:w="7260" w:type="dxa"/>
        <w:jc w:val="left"/>
        <w:tblInd w:w="0" w:type="dxa"/>
        <w:tblLayout w:type="fixed"/>
        <w:tblCellMar>
          <w:top w:w="0" w:type="dxa"/>
          <w:left w:w="0" w:type="dxa"/>
          <w:bottom w:w="0" w:type="dxa"/>
          <w:right w:w="0" w:type="dxa"/>
        </w:tblCellMar>
      </w:tblPr>
      <w:tblGrid>
        <w:gridCol w:w="3395"/>
        <w:gridCol w:w="2300"/>
        <w:gridCol w:w="1565"/>
      </w:tblGrid>
      <w:tr>
        <w:trPr/>
        <w:tc>
          <w:tcPr>
            <w:tcW w:w="3395"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283"/>
              <w:jc w:val="left"/>
              <w:rPr/>
            </w:pPr>
            <w:r>
              <w:rPr/>
              <w:t> </w:t>
            </w:r>
          </w:p>
        </w:tc>
      </w:tr>
      <w:tr>
        <w:trPr/>
        <w:tc>
          <w:tcPr>
            <w:tcW w:w="339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Delaware</w:t>
            </w:r>
          </w:p>
        </w:tc>
        <w:tc>
          <w:tcPr>
            <w:tcW w:w="230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001-39560</w:t>
            </w:r>
          </w:p>
        </w:tc>
        <w:tc>
          <w:tcPr>
            <w:tcW w:w="156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39-2182599</w:t>
            </w:r>
          </w:p>
        </w:tc>
      </w:tr>
      <w:tr>
        <w:trPr/>
        <w:tc>
          <w:tcPr>
            <w:tcW w:w="339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b/>
                <w:sz w:val="20"/>
              </w:rPr>
              <w:t>(State or Other Jurisdiction</w:t>
            </w:r>
            <w:r>
              <w:rPr>
                <w:rFonts w:ascii="Times New Roman;Times;Serif" w:hAnsi="Times New Roman;Times;Serif"/>
                <w:sz w:val="20"/>
              </w:rPr>
              <w:br/>
            </w:r>
            <w:r>
              <w:rPr>
                <w:rFonts w:ascii="Times New Roman;Times;Serif" w:hAnsi="Times New Roman;Times;Serif"/>
                <w:b/>
                <w:sz w:val="20"/>
              </w:rPr>
              <w:t>of Incorporation)</w:t>
            </w:r>
          </w:p>
        </w:tc>
        <w:tc>
          <w:tcPr>
            <w:tcW w:w="230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(Commission File Number)</w:t>
            </w:r>
          </w:p>
        </w:tc>
        <w:tc>
          <w:tcPr>
            <w:tcW w:w="156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b/>
                <w:sz w:val="20"/>
              </w:rPr>
              <w:t>(IRS Employer</w:t>
            </w:r>
            <w:r>
              <w:rPr>
                <w:rFonts w:ascii="Times New Roman;Times;Serif" w:hAnsi="Times New Roman;Times;Serif"/>
                <w:sz w:val="20"/>
              </w:rPr>
              <w:br/>
            </w:r>
            <w:r>
              <w:rPr>
                <w:rFonts w:ascii="Times New Roman;Times;Serif" w:hAnsi="Times New Roman;Times;Serif"/>
                <w:b/>
                <w:sz w:val="20"/>
              </w:rPr>
              <w:t>Identification No.)</w:t>
            </w:r>
          </w:p>
        </w:tc>
      </w:tr>
      <w:tr>
        <w:trPr/>
        <w:tc>
          <w:tcPr>
            <w:tcW w:w="3395"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283"/>
              <w:jc w:val="left"/>
              <w:rPr/>
            </w:pPr>
            <w:r>
              <w:rPr/>
              <w:t> </w:t>
            </w:r>
          </w:p>
        </w:tc>
      </w:tr>
      <w:tr>
        <w:trPr/>
        <w:tc>
          <w:tcPr>
            <w:tcW w:w="339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3881 McGowen Street</w:t>
            </w:r>
          </w:p>
        </w:tc>
        <w:tc>
          <w:tcPr>
            <w:tcW w:w="3865" w:type="dxa"/>
            <w:gridSpan w:val="2"/>
            <w:tcBorders/>
            <w:vAlign w:val="center"/>
          </w:tcPr>
          <w:p>
            <w:pPr>
              <w:pStyle w:val="TableContents"/>
              <w:bidi w:val="0"/>
              <w:spacing w:before="0" w:after="283"/>
              <w:jc w:val="center"/>
              <w:rPr/>
            </w:pPr>
            <w:r>
              <w:rPr/>
              <w:t> </w:t>
            </w:r>
          </w:p>
        </w:tc>
      </w:tr>
      <w:tr>
        <w:trPr/>
        <w:tc>
          <w:tcPr>
            <w:tcW w:w="339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Long Beach, California</w:t>
            </w:r>
          </w:p>
        </w:tc>
        <w:tc>
          <w:tcPr>
            <w:tcW w:w="2300" w:type="dxa"/>
            <w:tcBorders/>
            <w:vAlign w:val="center"/>
          </w:tcPr>
          <w:p>
            <w:pPr>
              <w:pStyle w:val="TableContents"/>
              <w:bidi w:val="0"/>
              <w:spacing w:before="0" w:after="283"/>
              <w:jc w:val="center"/>
              <w:rPr/>
            </w:pPr>
            <w:r>
              <w:rPr/>
              <w:t> </w:t>
            </w:r>
          </w:p>
        </w:tc>
        <w:tc>
          <w:tcPr>
            <w:tcW w:w="156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90808</w:t>
            </w:r>
          </w:p>
        </w:tc>
      </w:tr>
      <w:tr>
        <w:trPr/>
        <w:tc>
          <w:tcPr>
            <w:tcW w:w="339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(Address of Principal Executive Offices)</w:t>
            </w:r>
          </w:p>
        </w:tc>
        <w:tc>
          <w:tcPr>
            <w:tcW w:w="2300" w:type="dxa"/>
            <w:tcBorders/>
            <w:vAlign w:val="center"/>
          </w:tcPr>
          <w:p>
            <w:pPr>
              <w:pStyle w:val="TableContents"/>
              <w:bidi w:val="0"/>
              <w:spacing w:before="0" w:after="283"/>
              <w:jc w:val="center"/>
              <w:rPr/>
            </w:pPr>
            <w:r>
              <w:rPr/>
              <w:t> </w:t>
            </w:r>
          </w:p>
        </w:tc>
        <w:tc>
          <w:tcPr>
            <w:tcW w:w="156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Registrant’s Telephone Number, Including Area Code: 714 465-5737</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(see General Instructions A.2.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Written communications pursuant to Rule 425 under the Securities Act (17 CFR 230.425)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Soliciting material pursuant to Rule 14a-12 under the Exchange Act (17 CFR 240.14a-12)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Pre-commencement communications pursuant to Rule 14d-2(b) under the Exchange Act (17 CFR 240.14d-2(b))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Pre-commencement communications pursuant to Rule 13e-4(c) under the Exchange Act (17 CFR 240.13e-4(c))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pursuant to Section 12(b) of the Act:</w:t>
      </w:r>
    </w:p>
    <w:tbl>
      <w:tblPr>
        <w:tblW w:w="8310" w:type="dxa"/>
        <w:jc w:val="left"/>
        <w:tblInd w:w="0" w:type="dxa"/>
        <w:tblLayout w:type="fixed"/>
        <w:tblCellMar>
          <w:top w:w="0" w:type="dxa"/>
          <w:left w:w="0" w:type="dxa"/>
          <w:bottom w:w="0" w:type="dxa"/>
          <w:right w:w="0" w:type="dxa"/>
        </w:tblCellMar>
      </w:tblPr>
      <w:tblGrid>
        <w:gridCol w:w="3620"/>
        <w:gridCol w:w="60"/>
        <w:gridCol w:w="860"/>
        <w:gridCol w:w="60"/>
        <w:gridCol w:w="3710"/>
      </w:tblGrid>
      <w:tr>
        <w:trPr/>
        <w:tc>
          <w:tcPr>
            <w:tcW w:w="36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710" w:type="dxa"/>
            <w:tcBorders/>
            <w:vAlign w:val="center"/>
          </w:tcPr>
          <w:p>
            <w:pPr>
              <w:pStyle w:val="TableContents"/>
              <w:bidi w:val="0"/>
              <w:spacing w:before="0" w:after="283"/>
              <w:jc w:val="left"/>
              <w:rPr/>
            </w:pPr>
            <w:r>
              <w:rPr/>
              <w:t> </w:t>
            </w:r>
          </w:p>
        </w:tc>
      </w:tr>
      <w:tr>
        <w:trPr/>
        <w:tc>
          <w:tcPr>
            <w:tcW w:w="362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br/>
            </w:r>
            <w:r>
              <w:rPr>
                <w:rFonts w:ascii="Times New Roman;Times;Serif" w:hAnsi="Times New Roman;Times;Serif"/>
                <w:b/>
                <w:sz w:val="20"/>
              </w:rPr>
              <w:t>Title of each class</w:t>
            </w:r>
          </w:p>
        </w:tc>
        <w:tc>
          <w:tcPr>
            <w:tcW w:w="60" w:type="dxa"/>
            <w:tcBorders/>
            <w:vAlign w:val="center"/>
          </w:tcPr>
          <w:p>
            <w:pPr>
              <w:pStyle w:val="TableContents"/>
              <w:bidi w:val="0"/>
              <w:spacing w:before="0" w:after="283"/>
              <w:jc w:val="center"/>
              <w:rPr/>
            </w:pPr>
            <w:r>
              <w:rPr/>
              <w:t> </w:t>
            </w:r>
          </w:p>
        </w:tc>
        <w:tc>
          <w:tcPr>
            <w:tcW w:w="86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b/>
                <w:sz w:val="20"/>
              </w:rPr>
              <w:t>Trading</w:t>
            </w:r>
            <w:r>
              <w:rPr>
                <w:rFonts w:ascii="Times New Roman;Times;Serif" w:hAnsi="Times New Roman;Times;Serif"/>
                <w:sz w:val="20"/>
              </w:rPr>
              <w:br/>
            </w:r>
            <w:r>
              <w:rPr>
                <w:rFonts w:ascii="Times New Roman;Times;Serif" w:hAnsi="Times New Roman;Times;Serif"/>
                <w:b/>
                <w:sz w:val="20"/>
              </w:rPr>
              <w:t>Symbol(s)</w:t>
            </w:r>
          </w:p>
        </w:tc>
        <w:tc>
          <w:tcPr>
            <w:tcW w:w="60" w:type="dxa"/>
            <w:tcBorders/>
            <w:vAlign w:val="center"/>
          </w:tcPr>
          <w:p>
            <w:pPr>
              <w:pStyle w:val="TableContents"/>
              <w:bidi w:val="0"/>
              <w:spacing w:before="0" w:after="283"/>
              <w:jc w:val="center"/>
              <w:rPr/>
            </w:pPr>
            <w:r>
              <w:rPr/>
              <w:t> </w:t>
            </w:r>
          </w:p>
        </w:tc>
        <w:tc>
          <w:tcPr>
            <w:tcW w:w="371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br/>
            </w:r>
            <w:r>
              <w:rPr>
                <w:rFonts w:ascii="Times New Roman;Times;Serif" w:hAnsi="Times New Roman;Times;Serif"/>
                <w:b/>
                <w:sz w:val="20"/>
              </w:rPr>
              <w:t>Name of each exchange on which registered</w:t>
            </w:r>
          </w:p>
        </w:tc>
      </w:tr>
      <w:tr>
        <w:trPr/>
        <w:tc>
          <w:tcPr>
            <w:tcW w:w="3620" w:type="dxa"/>
            <w:tcBorders>
              <w:top w:val="single" w:sz="8" w:space="0" w:color="000000"/>
            </w:tcBorders>
            <w:tcMar>
              <w:top w:w="3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Common Stock, par value $0.0001 per share</w:t>
            </w:r>
          </w:p>
        </w:tc>
        <w:tc>
          <w:tcPr>
            <w:tcW w:w="60" w:type="dxa"/>
            <w:tcBorders>
              <w:top w:val="single" w:sz="8" w:space="0" w:color="FFFFFF"/>
            </w:tcBorders>
            <w:tcMar>
              <w:top w:w="30" w:type="dxa"/>
            </w:tcMar>
            <w:vAlign w:val="center"/>
          </w:tcPr>
          <w:p>
            <w:pPr>
              <w:pStyle w:val="TableContents"/>
              <w:bidi w:val="0"/>
              <w:spacing w:before="0" w:after="283"/>
              <w:jc w:val="center"/>
              <w:rPr/>
            </w:pPr>
            <w:r>
              <w:rPr/>
              <w:t> </w:t>
            </w:r>
          </w:p>
        </w:tc>
        <w:tc>
          <w:tcPr>
            <w:tcW w:w="860" w:type="dxa"/>
            <w:tcBorders>
              <w:top w:val="single" w:sz="8" w:space="0" w:color="000000"/>
            </w:tcBorders>
            <w:tcMar>
              <w:top w:w="3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RKLB</w:t>
            </w:r>
          </w:p>
        </w:tc>
        <w:tc>
          <w:tcPr>
            <w:tcW w:w="60" w:type="dxa"/>
            <w:tcBorders>
              <w:top w:val="single" w:sz="8" w:space="0" w:color="FFFFFF"/>
            </w:tcBorders>
            <w:tcMar>
              <w:top w:w="30" w:type="dxa"/>
            </w:tcMar>
            <w:vAlign w:val="center"/>
          </w:tcPr>
          <w:p>
            <w:pPr>
              <w:pStyle w:val="TableContents"/>
              <w:bidi w:val="0"/>
              <w:spacing w:before="0" w:after="283"/>
              <w:jc w:val="center"/>
              <w:rPr/>
            </w:pPr>
            <w:r>
              <w:rPr/>
              <w:t> </w:t>
            </w:r>
          </w:p>
        </w:tc>
        <w:tc>
          <w:tcPr>
            <w:tcW w:w="3710" w:type="dxa"/>
            <w:tcBorders>
              <w:top w:val="single" w:sz="8" w:space="0" w:color="000000"/>
            </w:tcBorders>
            <w:tcMar>
              <w:top w:w="3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Nasdaq Global Select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8.01 Other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disclosed in its Current Report on Form 8-K filed with the Securities and Exchange Commission (the “SEC”) on June 29, 2026, Rocket Lab Corporation, a Delaware corporation (“Rocket Lab”), entered into an Agreement and Plan of Merger (the “Merger Agreement”), dated as of June 28, 2026, with Iridium Communications Inc., a Delaware corporation (“Iridium”), Ion Merger Sub I, Inc., a Delaware corporation and an indirect wholly owned subsidiary of Rocket Lab (“Merger Sub I”), and Ion Merger Sub II, LLC, a Delaware limited liability company and an indirect wholly owned subsidiary of Rocket Lab (“Merger Sub II”). Pursuant to the Merger Agreement, and subject to the satisfaction or waiver of the conditions set forth therein, Merger Sub I will merge with and into Iridium (the “First Merger”), with Iridium continuing as the surviving corporation and an indirect wholly owned subsidiary of Rocket Lab, and subject to certain specified conditions provided in the Merger Agreement being satisfied, following the First Merger, the surviving corporation in the First Merger will merge with and into Merger Sub II (together with the First Merger, the “Transaction”), with Merger Sub II continuing as the surviving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purpose of this Current Report on Form 8-K is to file (a) the Financial Information (as defined below) and (b) the consent of KPMG LLP, Iridium’s independent registered public accounting firm, included as Exhibit 23.1 to this Current Report on Form 8-K (the “Consent”), and to allow such Financial Information and Consent to be incorporated by reference into the registration statements identified in the Consent and previously filed with the SEC under the Securities Act of 1933, as amended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 Financial Statements of Business Acquired.*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*Note: Business has not yet been acquired. Financial statements are provided in connection with a pending business combination.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audited consolidated financial statements of Iridium as of December 31, 2025 and 2024 and for each of the years in the three-year period ended December 31, 2025, and the related notes, including the reports of KPMG LLP, are included in Iridium’s Annual Report on Form 10-K for the year ended December 31, 2025, filed by Iridium with the SEC on February 12, 2026, and are incorporated herein by reference as Exhibit 99.1 hereto (the “Iridium Audited Financial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condensed consolidated financial statements of Iridium as of June 30, 2026 and for the three and six months ended June 30, 2026 and 2025, and the related notes, are included in Iridium’s Quarterly Report on Form 10-Q for the quarterly period ended June 30, 2026, filed by Iridium with the SEC on July 22, 2026, and are incorporated herein by reference as Exhibit 99.2 hereto (the “Iridium Unaudited Financial Information” and, together with the Iridium Audited Financial Information, the “Iridium Financial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 Pro Forma Financial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**Note: Business has not yet been acquired. Pro forma financial information is provided in connection with a pending business combination.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Transaction, Rocket Lab is providing the unaudited pro forma condensed combined financial statements of Rocket Lab reflecting the Transaction and the related notes, consisting of an unaudited pro forma condensed combined balance sheet as of June 30, 2026 and unaudited pro forma condensed combined statements of operations and comprehensive income (loss) for the six months ended June 30, 2026 and the year ended December 31, 2025, which are filed as Exhibit 99.3 to this Current Report on Form 8-K and incorporated by reference herein (the “Pro Forma Financial Information” and, together with the Iridium Financial Information, the “Financial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exhibits are being filed herein.</w:t>
      </w:r>
    </w:p>
    <w:tbl>
      <w:tblPr>
        <w:tblW w:w="10205" w:type="dxa"/>
        <w:jc w:val="left"/>
        <w:tblInd w:w="0" w:type="dxa"/>
        <w:tblLayout w:type="fixed"/>
        <w:tblCellMar>
          <w:top w:w="0" w:type="dxa"/>
          <w:left w:w="0" w:type="dxa"/>
          <w:bottom w:w="0" w:type="dxa"/>
          <w:right w:w="0" w:type="dxa"/>
        </w:tblCellMar>
      </w:tblPr>
      <w:tblGrid>
        <w:gridCol w:w="650"/>
        <w:gridCol w:w="9555"/>
      </w:tblGrid>
      <w:tr>
        <w:trPr/>
        <w:tc>
          <w:tcPr>
            <w:tcW w:w="650" w:type="dxa"/>
            <w:tcBorders/>
            <w:vAlign w:val="center"/>
          </w:tcPr>
          <w:p>
            <w:pPr>
              <w:pStyle w:val="TableContents"/>
              <w:bidi w:val="0"/>
              <w:spacing w:before="0" w:after="283"/>
              <w:jc w:val="left"/>
              <w:rPr/>
            </w:pPr>
            <w:r>
              <w:rPr/>
              <w:t> </w:t>
            </w:r>
          </w:p>
        </w:tc>
        <w:tc>
          <w:tcPr>
            <w:tcW w:w="9555" w:type="dxa"/>
            <w:tcBorders/>
            <w:vAlign w:val="center"/>
          </w:tcPr>
          <w:p>
            <w:pPr>
              <w:pStyle w:val="TableContents"/>
              <w:bidi w:val="0"/>
              <w:spacing w:before="0" w:after="283"/>
              <w:jc w:val="left"/>
              <w:rPr/>
            </w:pPr>
            <w:r>
              <w:rPr/>
              <w:t> </w:t>
            </w:r>
          </w:p>
        </w:tc>
      </w:tr>
      <w:tr>
        <w:trPr/>
        <w:tc>
          <w:tcPr>
            <w:tcW w:w="65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Exhibit</w:t>
              <w:br/>
              <w:t>No.</w:t>
            </w:r>
          </w:p>
        </w:tc>
        <w:tc>
          <w:tcPr>
            <w:tcW w:w="95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Description</w:t>
            </w:r>
          </w:p>
        </w:tc>
      </w:tr>
      <w:tr>
        <w:trPr/>
        <w:tc>
          <w:tcPr>
            <w:tcW w:w="650" w:type="dxa"/>
            <w:tcBorders/>
            <w:vAlign w:val="center"/>
          </w:tcPr>
          <w:p>
            <w:pPr>
              <w:pStyle w:val="TableContents"/>
              <w:bidi w:val="0"/>
              <w:spacing w:before="0" w:after="283"/>
              <w:jc w:val="left"/>
              <w:rPr/>
            </w:pPr>
            <w:r>
              <w:rPr/>
              <w:t> </w:t>
            </w:r>
          </w:p>
        </w:tc>
        <w:tc>
          <w:tcPr>
            <w:tcW w:w="9555" w:type="dxa"/>
            <w:tcBorders/>
            <w:vAlign w:val="center"/>
          </w:tcPr>
          <w:p>
            <w:pPr>
              <w:pStyle w:val="TableContents"/>
              <w:bidi w:val="0"/>
              <w:spacing w:before="0" w:after="283"/>
              <w:jc w:val="left"/>
              <w:rPr/>
            </w:pPr>
            <w:r>
              <w:rPr/>
              <w:t> </w:t>
            </w:r>
          </w:p>
        </w:tc>
      </w:tr>
      <w:tr>
        <w:trPr/>
        <w:tc>
          <w:tcPr>
            <w:tcW w:w="6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23.1</w:t>
            </w:r>
          </w:p>
        </w:tc>
        <w:tc>
          <w:tcPr>
            <w:tcW w:w="9555" w:type="dxa"/>
            <w:tcBorders/>
            <w:vAlign w:val="center"/>
          </w:tcPr>
          <w:p>
            <w:pPr>
              <w:pStyle w:val="TableContents"/>
              <w:bidi w:val="0"/>
              <w:spacing w:before="0" w:after="283"/>
              <w:jc w:val="left"/>
              <w:rPr/>
            </w:pPr>
            <w:hyperlink w:anchor="g085841_ex23-1.htm">
              <w:r>
                <w:rPr>
                  <w:rStyle w:val="InternetLink"/>
                  <w:rFonts w:ascii="Times New Roman;Times;Serif" w:hAnsi="Times New Roman;Times;Serif"/>
                  <w:sz w:val="20"/>
                </w:rPr>
                <w:t>Consent of KPMG LLP, independent registered public accounting firm of Iridium Communications Inc.</w:t>
              </w:r>
            </w:hyperlink>
          </w:p>
        </w:tc>
      </w:tr>
      <w:tr>
        <w:trPr/>
        <w:tc>
          <w:tcPr>
            <w:tcW w:w="650" w:type="dxa"/>
            <w:tcBorders/>
            <w:vAlign w:val="center"/>
          </w:tcPr>
          <w:p>
            <w:pPr>
              <w:pStyle w:val="TableContents"/>
              <w:bidi w:val="0"/>
              <w:spacing w:before="0" w:after="283"/>
              <w:jc w:val="left"/>
              <w:rPr/>
            </w:pPr>
            <w:r>
              <w:rPr/>
              <w:t> </w:t>
            </w:r>
          </w:p>
        </w:tc>
        <w:tc>
          <w:tcPr>
            <w:tcW w:w="9555" w:type="dxa"/>
            <w:tcBorders/>
            <w:vAlign w:val="center"/>
          </w:tcPr>
          <w:p>
            <w:pPr>
              <w:pStyle w:val="TableContents"/>
              <w:bidi w:val="0"/>
              <w:spacing w:before="0" w:after="283"/>
              <w:jc w:val="left"/>
              <w:rPr/>
            </w:pPr>
            <w:r>
              <w:rPr/>
              <w:t> </w:t>
            </w:r>
          </w:p>
        </w:tc>
      </w:tr>
      <w:tr>
        <w:trPr/>
        <w:tc>
          <w:tcPr>
            <w:tcW w:w="6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99.1</w:t>
            </w:r>
          </w:p>
        </w:tc>
        <w:tc>
          <w:tcPr>
            <w:tcW w:w="9555" w:type="dxa"/>
            <w:tcBorders/>
            <w:vAlign w:val="center"/>
          </w:tcPr>
          <w:p>
            <w:pPr>
              <w:pStyle w:val="TableContents"/>
              <w:bidi w:val="0"/>
              <w:spacing w:before="0" w:after="283"/>
              <w:jc w:val="left"/>
              <w:rPr/>
            </w:pPr>
            <w:r>
              <w:fldChar w:fldCharType="begin"/>
            </w:r>
            <w:r>
              <w:rPr>
                <w:rStyle w:val="InternetLink"/>
                <w:sz w:val="20"/>
                <w:rFonts w:ascii="Times New Roman;Times;Serif" w:hAnsi="Times New Roman;Times;Serif"/>
              </w:rPr>
              <w:instrText xml:space="preserve"> HYPERLINK "http://www.sec.gov/Archives/edgar/data/1418819/000141881926000009/irdm-20251231.htm" \l "i6c266e10e8854996a0b0f5df9ae19429_52:~:text=Item 8. Financial Statements and Supplementary Data"</w:instrText>
            </w:r>
            <w:r>
              <w:rPr>
                <w:rStyle w:val="InternetLink"/>
                <w:sz w:val="20"/>
                <w:rFonts w:ascii="Times New Roman;Times;Serif" w:hAnsi="Times New Roman;Times;Serif"/>
              </w:rPr>
              <w:fldChar w:fldCharType="separate"/>
            </w:r>
            <w:r>
              <w:rPr>
                <w:rStyle w:val="InternetLink"/>
                <w:rFonts w:ascii="Times New Roman;Times;Serif" w:hAnsi="Times New Roman;Times;Serif"/>
                <w:sz w:val="20"/>
              </w:rPr>
              <w:t>Audited consolidated financial statements of Iridium Communications Inc. as of December 31, 2025 and 2024 and for each of the years in the three-year period ended December 31, 2025, and the related notes, including the report of KPMG LLP (incorporated by reference from Iridium Communications Inc.’s Annual Report on Form 10-K for the year ended December 31, 2025, filed with the SEC on February 12, 2026, File No. 001-33963)</w:t>
            </w:r>
            <w:r>
              <w:rPr>
                <w:rStyle w:val="InternetLink"/>
                <w:sz w:val="20"/>
                <w:rFonts w:ascii="Times New Roman;Times;Serif" w:hAnsi="Times New Roman;Times;Serif"/>
              </w:rPr>
              <w:fldChar w:fldCharType="end"/>
            </w:r>
          </w:p>
        </w:tc>
      </w:tr>
      <w:tr>
        <w:trPr/>
        <w:tc>
          <w:tcPr>
            <w:tcW w:w="650" w:type="dxa"/>
            <w:tcBorders/>
            <w:vAlign w:val="center"/>
          </w:tcPr>
          <w:p>
            <w:pPr>
              <w:pStyle w:val="TableContents"/>
              <w:bidi w:val="0"/>
              <w:spacing w:before="0" w:after="283"/>
              <w:jc w:val="left"/>
              <w:rPr/>
            </w:pPr>
            <w:r>
              <w:rPr/>
              <w:t> </w:t>
            </w:r>
          </w:p>
        </w:tc>
        <w:tc>
          <w:tcPr>
            <w:tcW w:w="9555" w:type="dxa"/>
            <w:tcBorders/>
            <w:vAlign w:val="center"/>
          </w:tcPr>
          <w:p>
            <w:pPr>
              <w:pStyle w:val="TableContents"/>
              <w:bidi w:val="0"/>
              <w:spacing w:before="0" w:after="283"/>
              <w:jc w:val="left"/>
              <w:rPr/>
            </w:pPr>
            <w:r>
              <w:rPr/>
              <w:t> </w:t>
            </w:r>
          </w:p>
        </w:tc>
      </w:tr>
      <w:tr>
        <w:trPr/>
        <w:tc>
          <w:tcPr>
            <w:tcW w:w="6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99.2</w:t>
            </w:r>
          </w:p>
        </w:tc>
        <w:tc>
          <w:tcPr>
            <w:tcW w:w="9555" w:type="dxa"/>
            <w:tcBorders/>
            <w:vAlign w:val="center"/>
          </w:tcPr>
          <w:p>
            <w:pPr>
              <w:pStyle w:val="TableContents"/>
              <w:bidi w:val="0"/>
              <w:spacing w:before="0" w:after="283"/>
              <w:jc w:val="left"/>
              <w:rPr/>
            </w:pPr>
            <w:r>
              <w:fldChar w:fldCharType="begin"/>
            </w:r>
            <w:r>
              <w:rPr>
                <w:rStyle w:val="InternetLink"/>
                <w:sz w:val="20"/>
                <w:rFonts w:ascii="Times New Roman;Times;Serif" w:hAnsi="Times New Roman;Times;Serif"/>
              </w:rPr>
              <w:instrText xml:space="preserve"> HYPERLINK "http://www.sec.gov/Archives/edgar/data/1418819/000141881926000045/irdm-20260630.htm" \l ":~:text=2-,PART I.,-Iridium Communications Inc"</w:instrText>
            </w:r>
            <w:r>
              <w:rPr>
                <w:rStyle w:val="InternetLink"/>
                <w:sz w:val="20"/>
                <w:rFonts w:ascii="Times New Roman;Times;Serif" w:hAnsi="Times New Roman;Times;Serif"/>
              </w:rPr>
              <w:fldChar w:fldCharType="separate"/>
            </w:r>
            <w:r>
              <w:rPr>
                <w:rStyle w:val="InternetLink"/>
                <w:rFonts w:ascii="Times New Roman;Times;Serif" w:hAnsi="Times New Roman;Times;Serif"/>
                <w:sz w:val="20"/>
              </w:rPr>
              <w:t>Unaudited condensed consolidated financial statements of Iridium Communications Inc. as of June 30, 2026 and for the three and six months ended June 30, 2026 and 2025, and the related notes (incorporated by reference from Iridium Communications Inc.’s Quarterly Report on Form 10-Q for the quarterly period ended June 30, 2026, filed with the SEC on July 22, 2026, File No. 001-33963)</w:t>
            </w:r>
            <w:r>
              <w:rPr>
                <w:rStyle w:val="InternetLink"/>
                <w:sz w:val="20"/>
                <w:rFonts w:ascii="Times New Roman;Times;Serif" w:hAnsi="Times New Roman;Times;Serif"/>
              </w:rPr>
              <w:fldChar w:fldCharType="end"/>
            </w:r>
          </w:p>
        </w:tc>
      </w:tr>
      <w:tr>
        <w:trPr/>
        <w:tc>
          <w:tcPr>
            <w:tcW w:w="650" w:type="dxa"/>
            <w:tcBorders/>
            <w:vAlign w:val="center"/>
          </w:tcPr>
          <w:p>
            <w:pPr>
              <w:pStyle w:val="TableContents"/>
              <w:bidi w:val="0"/>
              <w:spacing w:before="0" w:after="283"/>
              <w:jc w:val="left"/>
              <w:rPr/>
            </w:pPr>
            <w:r>
              <w:rPr/>
              <w:t> </w:t>
            </w:r>
          </w:p>
        </w:tc>
        <w:tc>
          <w:tcPr>
            <w:tcW w:w="9555" w:type="dxa"/>
            <w:tcBorders/>
            <w:vAlign w:val="center"/>
          </w:tcPr>
          <w:p>
            <w:pPr>
              <w:pStyle w:val="TableContents"/>
              <w:bidi w:val="0"/>
              <w:spacing w:before="0" w:after="283"/>
              <w:jc w:val="left"/>
              <w:rPr/>
            </w:pPr>
            <w:r>
              <w:rPr/>
              <w:t> </w:t>
            </w:r>
          </w:p>
        </w:tc>
      </w:tr>
      <w:tr>
        <w:trPr/>
        <w:tc>
          <w:tcPr>
            <w:tcW w:w="6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99.3</w:t>
            </w:r>
          </w:p>
        </w:tc>
        <w:tc>
          <w:tcPr>
            <w:tcW w:w="9555" w:type="dxa"/>
            <w:tcBorders/>
            <w:vAlign w:val="center"/>
          </w:tcPr>
          <w:p>
            <w:pPr>
              <w:pStyle w:val="TableContents"/>
              <w:bidi w:val="0"/>
              <w:spacing w:before="0" w:after="283"/>
              <w:jc w:val="left"/>
              <w:rPr/>
            </w:pPr>
            <w:hyperlink w:anchor="g085841_ex99-3.htm">
              <w:r>
                <w:rPr>
                  <w:rStyle w:val="InternetLink"/>
                  <w:rFonts w:ascii="Times New Roman;Times;Serif" w:hAnsi="Times New Roman;Times;Serif"/>
                  <w:sz w:val="20"/>
                </w:rPr>
                <w:t>Unaudited pro forma condensed combined financial statements of Rocket Lab Corporation as of June 30, 2026 and for the six months ended June 30, 2026 and the year ended December 31, 2025, and the related notes.</w:t>
              </w:r>
            </w:hyperlink>
          </w:p>
        </w:tc>
      </w:tr>
      <w:tr>
        <w:trPr/>
        <w:tc>
          <w:tcPr>
            <w:tcW w:w="650" w:type="dxa"/>
            <w:tcBorders/>
            <w:vAlign w:val="center"/>
          </w:tcPr>
          <w:p>
            <w:pPr>
              <w:pStyle w:val="TableContents"/>
              <w:bidi w:val="0"/>
              <w:spacing w:before="0" w:after="283"/>
              <w:jc w:val="left"/>
              <w:rPr/>
            </w:pPr>
            <w:r>
              <w:rPr/>
              <w:t> </w:t>
            </w:r>
          </w:p>
        </w:tc>
        <w:tc>
          <w:tcPr>
            <w:tcW w:w="9555" w:type="dxa"/>
            <w:tcBorders/>
            <w:vAlign w:val="center"/>
          </w:tcPr>
          <w:p>
            <w:pPr>
              <w:pStyle w:val="TableContents"/>
              <w:bidi w:val="0"/>
              <w:spacing w:before="0" w:after="283"/>
              <w:jc w:val="left"/>
              <w:rPr/>
            </w:pPr>
            <w:r>
              <w:rPr/>
              <w:t> </w:t>
            </w:r>
          </w:p>
        </w:tc>
      </w:tr>
      <w:tr>
        <w:trPr/>
        <w:tc>
          <w:tcPr>
            <w:tcW w:w="6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95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Additional Information and Where to Find 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is being made in respect of a proposed transaction involving Rocket Lab and Iridium. In connection with the proposed transaction, Rocket Lab has filed with the SEC a Registration Statement on Form S-4 that includes the proxy statement of Iridium that will also constitute a prospectus of Rocket Lab, but which is not yet effective. When the proxy statement/prospectus is finalized, it will be sent to the stockholders of Iridium seeking their approval of certain transaction-related proposals. This communication is not a substitute for the proxy statement/prospectus or any other documents which Rocket Lab or Iridium may file with the SEC in connection with the proposed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Rocket Lab may not sell the common stock referenced in the proxy statement/prospectus until the Registration Statement on Form S-4 filed with the SEC becomes effective. The preliminary proxy statement/prospectus and this communication are not offers to sell any securities, are not soliciting an offer to buy any securities in any state where the offer and sale is not permitted and are not a solicitation of any vote or approval.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ROCKET LAB AND IRIDIUM URGE INVESTORS AND SECURITY HOLDERS TO READ THE REGISTRATION STATEMENT ON FORM S-4, THE RELATED PROXY STATEMENT/PROSPECTUS INCLUDED THEREIN AND OTHER DOCUMENTS FILED WITH THE SEC CAREFULLY AND IN THEIR ENTIRETY WHEN THEY BECOME AVAILABLE BECAUSE THEY WILL CONTAIN IMPORTANT INFORMATION ABOUT THE PROPOSED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 and security holders will be able to obtain these materials (when they are available and filed) free of charge at the SEC’s website, www.sec.gov. Copies of documents filed with the SEC by Rocket Lab (when they become available) may be obtained free of charge on Rocket Lab’s website at https://investors.rocketlabcorp.com/financial-information/sec-filings or by contacting Rocket Lab’s Investor Relations Department at investors@rocketlabusa.com. Copies of documents filed with the SEC by Iridium (when they become available) may be obtained free of charge on Iridium’s website at https://investor.iridium.com/sec-filings by contacting Iridium’s Investor Relations Department at investor.relations@iridium.com.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Participants in the Solicitation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Robert H. Niehaus, Louis M. Alterman, Thomas C. Canfield, Matthew J. Desch, Thomas J. Fitzpatrick, L. Anthony Frazier, Suzanne E. McBride, Eric T. Olson, Kay N. Sears, Monique S. Shivanandan and Jacqueline E. Yeaney, all of whom are members of Iridium’s board of directors</w:t>
      </w:r>
      <w:r>
        <w:rPr>
          <w:rFonts w:ascii="Times New Roman;Times;Serif" w:hAnsi="Times New Roman;Times;Serif"/>
          <w:b w:val="false"/>
          <w:i w:val="false"/>
          <w:caps w:val="false"/>
          <w:smallCaps w:val="false"/>
          <w:sz w:val="20"/>
          <w:shd w:fill="FFFFFF" w:val="clear"/>
        </w:rPr>
        <w:t xml:space="preserve">, </w:t>
      </w:r>
      <w:r>
        <w:rPr>
          <w:rFonts w:ascii="Times New Roman;Times;Serif" w:hAnsi="Times New Roman;Times;Serif"/>
          <w:b w:val="false"/>
          <w:i w:val="false"/>
          <w:caps w:val="false"/>
          <w:smallCaps w:val="false"/>
          <w:sz w:val="20"/>
        </w:rPr>
        <w:t xml:space="preserve">and </w:t>
      </w:r>
      <w:r>
        <w:rPr>
          <w:rFonts w:ascii="Times New Roman;Times;Serif" w:hAnsi="Times New Roman;Times;Serif"/>
          <w:b w:val="false"/>
          <w:i w:val="false"/>
          <w:caps w:val="false"/>
          <w:smallCaps w:val="false"/>
          <w:sz w:val="20"/>
          <w:shd w:fill="FFFFFF" w:val="clear"/>
        </w:rPr>
        <w:t xml:space="preserve">Vincent J. O’Neill, Iridium’s chief financial officer, may be considered participants in </w:t>
      </w:r>
      <w:r>
        <w:rPr>
          <w:rFonts w:ascii="Times New Roman;Times;Serif" w:hAnsi="Times New Roman;Times;Serif"/>
          <w:b w:val="false"/>
          <w:i w:val="false"/>
          <w:caps w:val="false"/>
          <w:smallCaps w:val="false"/>
          <w:sz w:val="20"/>
        </w:rPr>
        <w:t>Iridium</w:t>
      </w:r>
      <w:r>
        <w:rPr>
          <w:rFonts w:ascii="Times New Roman;Times;Serif" w:hAnsi="Times New Roman;Times;Serif"/>
          <w:b w:val="false"/>
          <w:i w:val="false"/>
          <w:caps w:val="false"/>
          <w:smallCaps w:val="false"/>
          <w:sz w:val="20"/>
          <w:shd w:fill="FFFFFF" w:val="clear"/>
        </w:rPr>
        <w:t xml:space="preserve">’s solicitation. Information regarding such participants, including their direct or indirect interests, by security holdings or otherwise, is included in the preliminary proxy statement/prospectus filed with the SEC on Augest 13, 2026. Rocket Lab may also be deemed to be a participant in </w:t>
      </w:r>
      <w:r>
        <w:rPr>
          <w:rFonts w:ascii="Times New Roman;Times;Serif" w:hAnsi="Times New Roman;Times;Serif"/>
          <w:b w:val="false"/>
          <w:i w:val="false"/>
          <w:caps w:val="false"/>
          <w:smallCaps w:val="false"/>
          <w:sz w:val="20"/>
        </w:rPr>
        <w:t>Iridium</w:t>
      </w:r>
      <w:r>
        <w:rPr>
          <w:rFonts w:ascii="Times New Roman;Times;Serif" w:hAnsi="Times New Roman;Times;Serif"/>
          <w:b w:val="false"/>
          <w:i w:val="false"/>
          <w:caps w:val="false"/>
          <w:smallCaps w:val="false"/>
          <w:sz w:val="20"/>
          <w:shd w:fill="FFFFFF" w:val="clear"/>
        </w:rPr>
        <w:t xml:space="preserve">’s solicitation; information regarding Rocket Lab is included in the preliminary proxy statement/prospectus filed with the SEC on Augest 13, 2026. Copies of these documents may be obtained, free of charge, from the SEC or </w:t>
      </w:r>
      <w:r>
        <w:rPr>
          <w:rFonts w:ascii="Times New Roman;Times;Serif" w:hAnsi="Times New Roman;Times;Serif"/>
          <w:b w:val="false"/>
          <w:i w:val="false"/>
          <w:caps w:val="false"/>
          <w:smallCaps w:val="false"/>
          <w:sz w:val="20"/>
        </w:rPr>
        <w:t xml:space="preserve">Iridium </w:t>
      </w:r>
      <w:r>
        <w:rPr>
          <w:rFonts w:ascii="Times New Roman;Times;Serif" w:hAnsi="Times New Roman;Times;Serif"/>
          <w:b w:val="false"/>
          <w:i w:val="false"/>
          <w:caps w:val="false"/>
          <w:smallCaps w:val="false"/>
          <w:sz w:val="20"/>
          <w:shd w:fill="FFFFFF" w:val="clear"/>
        </w:rPr>
        <w:t>as described in the preceding paragraph</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Cautionary Note Regarding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This communication contains “forward-looking statements” within the meaning of the federal securities laws. These forward-looking statements are based on Rocket Lab’s and Iridium’s current expectations, estimates and projections about the expected date of closing of the proposed transaction and the potential benefits thereof, its business and industry, management’s beliefs and certain assumptions made by Rocket Lab and Iridium, all of which are subject to change. In this context, forward-looking statements often address expected future events, including future business and financial performance and financial condition. All forward-looking statements by their nature address matters that involve risks and uncertainties, many of which are beyond our control, and are not guarantees of future results, such as statements about the consummation of the proposed transaction and the anticipated benefits thereof. These and other forward-looking statements are not guarantees of future results and are subject to risks, uncertainties and assumptions that could cause actual results to differ materially from those expressed or implied in any forward-looking statements. Accordingly, there are or will be important factors that could cause actual results to differ materially from those indicated in such statements and, therefore, you should not place undue reliance on any such statements and caution must be exercised in relying on forward-looking statements. Important risk factors that may cause such a difference include, but are not limited to: (i) the completion of the proposed transaction on anticipated terms and timing, or at all, including obtaining stockholder and regulatory approvals and satisfying other conditions to the completion of the transaction; (ii) the occurrence of any event, change or other circumstances that could give rise to the termination of the merger agreement, including the receipt by Iridium of an unsolicited proposal from a third party; (iii) failure to realize the anticipated benefits of the proposed transaction on a timely basis or at all, including anticipated tax treatment, unforeseen liabilities, future capital expenditures, revenues, expenses, earnings, the integration of the businesses of Rocket Lab and Iridium, synergies, economic performance, indebtedness, financial condition, losses, future prospects, business and management strategies for the management, expansion and growth of Rocket Lab’s and Iridium’s businesses; (iv) Rocket Lab’s and Iridium’s ability to implement their business strategies; (v) potential litigation relating to the proposed transaction that could be instituted against Rocket Lab, Iridium or their respective directors, managers, or officers, including the effects of any outcomes related thereto; (vi) the risk that disruptions from the proposed transaction will harm Rocket Lab’s or Iridium’s businesses, including current plans and operations, or will otherwise divert management time from ongoing business operations on transaction-related issues; (vii) the ability of Rocket Lab or Iridium to retain and hire key personnel; (viii) potential adverse reactions or changes to business relationships resulting from the announcement or completion of the proposed transaction; (ix) fluctuations in, and uncertainty as to the long-term value of, Rocket Lab or Iridium common stock (including as relating to the risk that any announcements related to the proposed transaction could have adverse effects on the market price of such stock); (x) legislative, regulatory and economic developments affecting Rocket Lab’s and Iridium’s businesses, including actions by government agencies and third parties; (xi) general economic and market developments and conditions, potential changes to international trade relations, geopolitical conflicts and effects from global pandemics, epidemics, or other public health crises; (xii) the evolving legal, regulatory and tax regimes under which Rocket Lab and Iridium operate; (xiii) restrictions during the pendency of the proposed transaction that may impact Rocket Lab’s or Iridium’s ability to pursue certain business opportunities or strategic transactions; (xiv) unexpected costs, charges or expenses resulting from the proposed transaction; (xv) risks that any debt or other financing anticipated in connection with the proposed transaction is not obtained or that such financing cannot be obtained on the anticipated timing or terms or unexpected costs or expenses in connection therewith; and (xvi) the other risks and uncertainties, as described in the periodic reports that Rocket Lab and Iridium file with the SEC. These risks, as well as other risks associated with the proposed transaction, are more fully discussed in the proxy statement/prospectus to be filed with the SEC in connection with the proposed transaction. Neither Rocket Lab nor Iridium assumes any obligation to publicly provide revisions or updates to any forward-looking statements, whether as a result of new information, future developments or otherwise, should circumstances change, except as otherwise required by securities and other applicable laws. Forward-looking statements included in this communication are made as of the date of this communication.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tbl>
      <w:tblPr>
        <w:tblW w:w="5030" w:type="dxa"/>
        <w:jc w:val="left"/>
        <w:tblInd w:w="0" w:type="dxa"/>
        <w:tblLayout w:type="fixed"/>
        <w:tblCellMar>
          <w:top w:w="0" w:type="dxa"/>
          <w:left w:w="0" w:type="dxa"/>
          <w:bottom w:w="0" w:type="dxa"/>
          <w:right w:w="0" w:type="dxa"/>
        </w:tblCellMar>
      </w:tblPr>
      <w:tblGrid>
        <w:gridCol w:w="470"/>
        <w:gridCol w:w="1370"/>
        <w:gridCol w:w="365"/>
        <w:gridCol w:w="2825"/>
      </w:tblGrid>
      <w:tr>
        <w:trPr/>
        <w:tc>
          <w:tcPr>
            <w:tcW w:w="47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825" w:type="dxa"/>
            <w:tcBorders/>
            <w:vAlign w:val="center"/>
          </w:tcPr>
          <w:p>
            <w:pPr>
              <w:pStyle w:val="TableContents"/>
              <w:bidi w:val="0"/>
              <w:spacing w:before="0" w:after="283"/>
              <w:jc w:val="left"/>
              <w:rPr/>
            </w:pPr>
            <w:r>
              <w:rPr/>
              <w:t> </w:t>
            </w:r>
          </w:p>
        </w:tc>
      </w:tr>
      <w:tr>
        <w:trPr/>
        <w:tc>
          <w:tcPr>
            <w:tcW w:w="47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82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ROCKET LAB CORPORATION</w:t>
            </w:r>
          </w:p>
        </w:tc>
      </w:tr>
      <w:tr>
        <w:trPr/>
        <w:tc>
          <w:tcPr>
            <w:tcW w:w="47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825" w:type="dxa"/>
            <w:tcBorders/>
            <w:vAlign w:val="center"/>
          </w:tcPr>
          <w:p>
            <w:pPr>
              <w:pStyle w:val="TableContents"/>
              <w:bidi w:val="0"/>
              <w:spacing w:before="0" w:after="283"/>
              <w:jc w:val="left"/>
              <w:rPr/>
            </w:pPr>
            <w:r>
              <w:rPr/>
              <w:t> </w:t>
            </w:r>
          </w:p>
        </w:tc>
      </w:tr>
      <w:tr>
        <w:trPr/>
        <w:tc>
          <w:tcPr>
            <w:tcW w:w="4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w:t>
            </w:r>
          </w:p>
        </w:tc>
        <w:tc>
          <w:tcPr>
            <w:tcW w:w="13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August 13, 2026</w:t>
            </w:r>
          </w:p>
        </w:tc>
        <w:tc>
          <w:tcPr>
            <w:tcW w:w="3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By: </w:t>
            </w:r>
          </w:p>
        </w:tc>
        <w:tc>
          <w:tcPr>
            <w:tcW w:w="28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Adam Spice</w:t>
            </w:r>
          </w:p>
        </w:tc>
      </w:tr>
      <w:tr>
        <w:trPr/>
        <w:tc>
          <w:tcPr>
            <w:tcW w:w="47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825" w:type="dxa"/>
            <w:tcBorders>
              <w:top w:val="single" w:sz="8" w:space="0" w:color="000000"/>
            </w:tcBorders>
            <w:tcMar>
              <w:top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Adam Spice</w:t>
              <w:br/>
              <w:t>Chief Financial Officer</w:t>
            </w:r>
          </w:p>
        </w:tc>
      </w:tr>
    </w:tbl>
    <w:p>
      <w:pPr>
        <w:pStyle w:val="TextBody"/>
        <w:bidi w:val="0"/>
        <w:spacing w:before="0" w:after="283"/>
        <w:jc w:val="left"/>
        <w:rPr/>
      </w:pPr>
      <w:r>
        <w:rPr/>
        <w:t> </w:t>
      </w:r>
    </w:p>
    <w:p>
      <w:pPr>
        <w:pStyle w:val="TextBody"/>
        <w:bidi w:val="0"/>
        <w:spacing w:before="0" w:after="0"/>
        <w:ind w:left="0" w:right="0" w:hanging="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lineRule="atLeast" w:line="240" w:before="0" w:after="200"/>
        <w:jc w:val="right"/>
        <w:rPr>
          <w:rFonts w:ascii="Times New Roman;Times;Serif" w:hAnsi="Times New Roman;Times;Serif"/>
          <w:b/>
          <w:i w:val="false"/>
          <w:caps w:val="false"/>
          <w:smallCaps w:val="false"/>
          <w:sz w:val="20"/>
        </w:rPr>
      </w:pPr>
      <w:bookmarkStart w:id="2" w:name="g085841_ex23-1.htm"/>
      <w:bookmarkStart w:id="3" w:name="ksg085841_ex231"/>
      <w:bookmarkEnd w:id="2"/>
      <w:bookmarkEnd w:id="3"/>
      <w:r>
        <w:rPr>
          <w:rFonts w:ascii="Times New Roman;Times;Serif" w:hAnsi="Times New Roman;Times;Serif"/>
          <w:b/>
          <w:i w:val="false"/>
          <w:caps w:val="false"/>
          <w:smallCaps w:val="false"/>
          <w:sz w:val="20"/>
        </w:rPr>
        <w:t>Exhibit 23.1 </w:t>
      </w:r>
      <w:r>
        <w:br w:type="page"/>
      </w:r>
    </w:p>
    <w:p>
      <w:pPr>
        <w:pStyle w:val="TextBody"/>
        <w:bidi w:val="0"/>
        <w:spacing w:lineRule="atLeast" w:line="240" w:before="0" w:after="200"/>
        <w:ind w:left="0" w:right="0" w:firstLine="40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p>
    <w:p>
      <w:pPr>
        <w:pStyle w:val="TextBody"/>
        <w:bidi w:val="0"/>
        <w:spacing w:lineRule="atLeast" w:line="240" w:before="0" w:after="2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incorporation by reference in the registration statements Nos. 333-259797, 333-257440, 333-264781 and 333-285707 on Form S-3 and Nos. 333-260671, 333-264780, 333-270831 and 333-279326 on Form S-8 of Rocket Lab Corporation of our reports dated February 12, 2026, with respect to the consolidated financial statements of Iridium Communications Inc., and the effectiveness of internal control over financial reporting, which reports are incorporated by reference in the Current Report on Form 8-K of Rocket Lab Corporation dated August 13, 2026.</w:t>
      </w:r>
    </w:p>
    <w:p>
      <w:pPr>
        <w:pStyle w:val="TextBody"/>
        <w:bidi w:val="0"/>
        <w:spacing w:lineRule="atLeast" w:line="240" w:before="0" w:after="2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KPMG LLP</w:t>
      </w:r>
    </w:p>
    <w:p>
      <w:pPr>
        <w:pStyle w:val="TextBody"/>
        <w:bidi w:val="0"/>
        <w:spacing w:lineRule="atLeast" w:line="240" w:before="0" w:after="2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McLean, Virginia</w:t>
        <w:br/>
        <w:t>August 13, 2026</w:t>
      </w:r>
    </w:p>
    <w:tbl>
      <w:tblPr>
        <w:tblW w:w="173" w:type="dxa"/>
        <w:jc w:val="left"/>
        <w:tblInd w:w="0" w:type="dxa"/>
        <w:tblLayout w:type="fixed"/>
        <w:tblCellMar>
          <w:top w:w="0" w:type="dxa"/>
          <w:left w:w="0" w:type="dxa"/>
          <w:bottom w:w="28" w:type="dxa"/>
          <w:right w:w="0" w:type="dxa"/>
        </w:tblCellMar>
      </w:tblPr>
      <w:tblGrid>
        <w:gridCol w:w="75"/>
        <w:gridCol w:w="23"/>
        <w:gridCol w:w="75"/>
      </w:tblGrid>
      <w:tr>
        <w:trPr/>
        <w:tc>
          <w:tcPr>
            <w:tcW w:w="75" w:type="dxa"/>
            <w:tcBorders>
              <w:bottom w:val="single" w:sz="8" w:space="0" w:color="000000"/>
            </w:tcBorders>
            <w:vAlign w:val="center"/>
          </w:tcPr>
          <w:p>
            <w:pPr>
              <w:pStyle w:val="TableContents"/>
              <w:bidi w:val="0"/>
              <w:spacing w:before="0" w:after="283"/>
              <w:jc w:val="left"/>
              <w:rPr/>
            </w:pPr>
            <w:r>
              <w:rPr/>
              <w:t> </w:t>
            </w:r>
          </w:p>
        </w:tc>
        <w:tc>
          <w:tcPr>
            <w:tcW w:w="23"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75" w:type="dxa"/>
            <w:tcBorders>
              <w:bottom w:val="single" w:sz="8" w:space="0" w:color="000000"/>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lineRule="atLeast" w:line="240" w:before="0" w:after="200"/>
        <w:jc w:val="left"/>
        <w:rPr>
          <w:caps w:val="false"/>
          <w:smallCaps w:val="false"/>
        </w:rPr>
      </w:pPr>
      <w:r>
        <w:rPr>
          <w:caps w:val="false"/>
          <w:smallCaps w:val="false"/>
        </w:rPr>
        <w:t> </w:t>
      </w:r>
    </w:p>
    <w:p>
      <w:pPr>
        <w:pStyle w:val="TextBody"/>
        <w:bidi w:val="0"/>
        <w:spacing w:lineRule="atLeast" w:line="240" w:before="0" w:after="200"/>
        <w:jc w:val="left"/>
        <w:rPr>
          <w:caps w:val="false"/>
          <w:smallCaps w:val="false"/>
        </w:rPr>
      </w:pPr>
      <w:r>
        <w:rPr>
          <w:caps w:val="false"/>
          <w:smallCaps w:val="false"/>
        </w:rPr>
        <w:t> </w:t>
      </w:r>
    </w:p>
    <w:p>
      <w:pPr>
        <w:pStyle w:val="TextBody"/>
        <w:bidi w:val="0"/>
        <w:spacing w:lineRule="atLeast" w:line="240" w:before="0" w:after="20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jc w:val="right"/>
        <w:rPr>
          <w:b/>
        </w:rPr>
      </w:pPr>
      <w:bookmarkStart w:id="4" w:name="g085841_ex99-3.htm"/>
      <w:bookmarkStart w:id="5" w:name="ksg085841_ex993"/>
      <w:bookmarkEnd w:id="4"/>
      <w:bookmarkEnd w:id="5"/>
      <w:r>
        <w:rPr>
          <w:b/>
        </w:rPr>
        <w:t>Exhibit 99.3</w:t>
      </w:r>
      <w:r>
        <w:br w:type="page"/>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PRO FORMA CONDENSED COMBINED FINANCIAL INFORMATION</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PRO FORMA CONDENSED COMBINED FINANCIAL INFORMATION OF ROCKET LAB CORPORATION AND IRIDIUM COMMUNICATIONS INC.</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values)</w:t>
      </w:r>
    </w:p>
    <w:p>
      <w:pPr>
        <w:pStyle w:val="TextBody"/>
        <w:bidi w:val="0"/>
        <w:jc w:val="center"/>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28, 2026, Rocket Lab Corporation, a Delaware corporation (“Rocket Lab” or the “Company”), entered into an Agreement and Plan of Merger (the “Merger Agreement”) with Iridium Communications Inc., a Delaware corporation (“Iridium”), Ion Merger Sub I, Inc., a Delaware corporation and an indirect wholly owned subsidiary of Rocket Lab (“Merger Sub I”) and Ion Merger Sub II, LLC, a Delaware limited liability company and an indirect wholly owned subsidiary of Rocket Lab (“Merger Sub II”). Pursuant to the Merger Agreement, and subject to the satisfaction or waiver of the conditions set forth therein, Merger Sub I will merge with and into Iridium (the “First Merger”) with Iridium continuing as the surviving corporation and an indirect wholly owned subsidiary of Rocket Lab, and immediately following the First Merger, the surviving corporation in the First Merger will merge with and into Merger Sub II, with Merger Sub II continuing as the surviving entity (the “Second Merger” and together with the First Merger, the “Mergers”). The Mergers are generally intended to qualify as a tax-free reorganization for U.S. federal income tax purposes so long as the value of the Stock Consideration relative to the Cash Consideration (each as defined below) received by the holders of Iridium Common Stock (defined below) meets the conditions for tax-free treatment. Should those conditions not be met, the Second Merger will not occur and the Mergers will not qualify as a tax-free reorganization for U.S. federal income tax purposes. “Combined Company” refers to Rocket Lab and its subsidiaries, including Iridium and its subsidiaries, taken as a whole, immediately after giving effect to the Mergers.</w:t>
      </w:r>
    </w:p>
    <w:p>
      <w:pPr>
        <w:pStyle w:val="TextBody"/>
        <w:bidi w:val="0"/>
        <w:ind w:left="0" w:right="0" w:firstLine="720"/>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Mergers, at the effective time of the First Merger (the “First Effective Time” or “Purchase”) each issued and outstanding share of common stock of Iridium, par value $0.001 per share (“Iridium Common Stock”), other than as specified in the Merger Agreement, will be converted into the right to receive (i) $27.00 in cash (the “Cash Consideration”) and (ii) a number of shares (the “Stock Consideration” and, together with the Cash Consideration, the “Merger Consideration”) of Rocket Lab’s common stock, par value $0.0001 per share (“Rocket Lab Common Stock”), equal to the “Exchange Ratio” as follows, in each case without interest: (i) if the Rocket Lab Stock Price (as defined below) is equal to or less than $67.50, then the Exchange Ratio will be 0.4000; (ii) if the Rocket Lab Stock Price is greater than $67.50 but less than $112.50, then the Exchange Ratio will be the quotient obtained by dividing $27.00 by the Rocket Lab Stock Price, rounded to four decimal places; and (iii) if the Rocket Lab Stock Price is equal to or greater than $112.50, then the Exchange Ratio will be 0.2400. “Rocket Lab Stock Price” is defined as the volume weighted average price per share of Rocket Lab Common Stock on the Nasdaq Global Select Market for the period of the ten consecutive trading days ending on and including the second full trading day prior to the First Effective Time.</w:t>
      </w:r>
    </w:p>
    <w:p>
      <w:pPr>
        <w:pStyle w:val="TextBody"/>
        <w:bidi w:val="0"/>
        <w:ind w:left="0" w:right="0" w:firstLine="72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Merger Agreement provides that at the First Effective Time (i) each outstanding restricted stock unit covering Iridium Common Stock (the “Iridium RSU Awards”), including any Iridium RSU Award that includes performance-based vesting conditions (the “Iridium PSU Awards”), will be assumed by Rocket Lab and converted into a restricted stock unit award with respect to shares of Rocket Lab Common Stock (each, an “Assumed Iridium RSU Award”) subject to the same terms and conditions as applied to such Iridium RSU Award or Iridium PSU Award immediately prior to the closing of the Mergers “(Closing)” (including the same vesting and leaver provisions), except that such Assumed Iridium RSU Award will cover a whole number of shares of Rocket Lab Common Stock equal to the number of shares of Iridium Common Stock covered by such Iridium RSU Award or Iridium PSU Award immediately prior to the First Effective Time (and, with respect to Iridium PSU Awards, determined as if all applicable performance-based vesting conditions had been satisfied at target) multiplied by an Equity Award Exchange Ratio (as defined in the Merger Agreement) equal to (a) the Cash Consideration divided by the Rocket Lab Stock Price plus (b) the Exchange Ratio (rounded down to the nearest whole share), and each Assumed Iridium RSU Award will vest in full in the event of a termination of employment without cause within 12 months following the First Effective Time (in addition to any other provisions that apply to the corresponding Iridium RSU Award or Iridium PSU Award, including under the Iridium Executive Severance Plan), and (ii) each outstanding option to purchase Iridium Common Stock (the “Iridium Option Awards”) and each outstanding cash-settled stock appreciation right award with respect to Iridium Common Stock (the “Iridium CSAR Awards”) will be fully vested and exercisable and canceled and converted into the right to receive the Merger Consideration in respect of each share of Iridium Common Stock covered by such Iridium Option Award or Iridium CSAR Award (paid only in cash, in respect of an Iridium CSAR Award), calculated net of the exercise price or strike price, as applicable, of such Iridium Option Award or Iridium CSAR Award, less applicable withholdings. In connection with the Merger Agreement, Iridium’s Board of Directors approved cash retention awards (the “Iridium Retention Awards”) for certain employees. The Iridium Retention Awards are payable in two tranches, subject to the recipient’s continued employment, with 60% vesting upon the closing of the Mergers and the remaining 40% vesting on the six-month anniversary of the closing date.</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Merger Agreement, Rocket Lab entered into a commitment letter with Deutsche Bank AG New York Branch, Deutsche Bank Securities Inc., Wells Fargo Bank, National Association and Wells Fargo Securities, LLC and, pursuant to which Deutsche Bank AG New York Branch and Wells Fargo Bank, National Association have committed to provide, subject to the terms and conditions thereof, a 364-day senior secured bridge term loan facility in an aggregate principal amount of $3,600,000 (the “Bridge Facility”). Prior to the Closing, Rocket Lab intends to replace the Bridge Facility commitments with permanent financing on more favorable terms, however, such alternatives are not currently determinable. As a result, the unaudited pro forma condensed combined statements of operations for the six months ended June 30, 2026 and for the year ended December 31, 2025 assumes the Bridge Facility, which has a maturity of less than one year, was funded at the Closing and is outstanding for the entirety of the pro forma periods. In connection with the Mergers, the Company is evaluating amendments to certain existing debt agreements of Iridium which, if completed, could reduce borrowings under the Bridge Facility and the related interest expense. As the proposed amendments are not yet determinable, no adjustments related to such amendments have been reflected in these unaudited pro forma condensed combined financial statements.</w:t>
      </w:r>
    </w:p>
    <w:p>
      <w:pPr>
        <w:pStyle w:val="TextBody"/>
        <w:bidi w:val="0"/>
        <w:ind w:left="0" w:right="0" w:firstLine="720"/>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condensed combined balance sheet gives effect to the Purchase as if consummated as of June 30, 2026, and is derived from:</w:t>
      </w:r>
    </w:p>
    <w:p>
      <w:pPr>
        <w:pStyle w:val="TextBody"/>
        <w:bidi w:val="0"/>
        <w:ind w:left="720" w:right="0" w:hanging="360"/>
        <w:jc w:val="both"/>
        <w:rPr>
          <w:caps w:val="false"/>
          <w:smallCaps w:val="false"/>
        </w:rPr>
      </w:pPr>
      <w:r>
        <w:rPr>
          <w:caps w:val="false"/>
          <w:smallCaps w:val="false"/>
        </w:rPr>
        <w:t> </w:t>
      </w:r>
    </w:p>
    <w:tbl>
      <w:tblPr>
        <w:tblW w:w="9520" w:type="dxa"/>
        <w:jc w:val="left"/>
        <w:tblInd w:w="0" w:type="dxa"/>
        <w:tblLayout w:type="fixed"/>
        <w:tblCellMar>
          <w:top w:w="0" w:type="dxa"/>
          <w:left w:w="0" w:type="dxa"/>
          <w:bottom w:w="0" w:type="dxa"/>
          <w:right w:w="0" w:type="dxa"/>
        </w:tblCellMar>
      </w:tblPr>
      <w:tblGrid>
        <w:gridCol w:w="75"/>
        <w:gridCol w:w="170"/>
        <w:gridCol w:w="927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275" w:type="dxa"/>
            <w:tcBorders/>
            <w:vAlign w:val="center"/>
          </w:tcPr>
          <w:p>
            <w:pPr>
              <w:pStyle w:val="TableContents"/>
              <w:bidi w:val="0"/>
              <w:spacing w:before="0" w:after="283"/>
              <w:jc w:val="both"/>
              <w:rPr/>
            </w:pPr>
            <w:r>
              <w:rPr/>
              <w:t>For the Company, the unaudited condensed consolidated financial statements as of June 30, 2026.</w:t>
            </w:r>
          </w:p>
        </w:tc>
      </w:tr>
    </w:tbl>
    <w:p>
      <w:pPr>
        <w:pStyle w:val="TextBody"/>
        <w:bidi w:val="0"/>
        <w:spacing w:before="0" w:after="283"/>
        <w:jc w:val="left"/>
        <w:rPr/>
      </w:pPr>
      <w:r>
        <w:rPr/>
        <w:t> </w:t>
      </w:r>
    </w:p>
    <w:tbl>
      <w:tblPr>
        <w:tblW w:w="8935" w:type="dxa"/>
        <w:jc w:val="left"/>
        <w:tblInd w:w="0" w:type="dxa"/>
        <w:tblLayout w:type="fixed"/>
        <w:tblCellMar>
          <w:top w:w="0" w:type="dxa"/>
          <w:left w:w="0" w:type="dxa"/>
          <w:bottom w:w="0" w:type="dxa"/>
          <w:right w:w="0" w:type="dxa"/>
        </w:tblCellMar>
      </w:tblPr>
      <w:tblGrid>
        <w:gridCol w:w="75"/>
        <w:gridCol w:w="170"/>
        <w:gridCol w:w="869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690" w:type="dxa"/>
            <w:tcBorders/>
            <w:vAlign w:val="center"/>
          </w:tcPr>
          <w:p>
            <w:pPr>
              <w:pStyle w:val="TableContents"/>
              <w:bidi w:val="0"/>
              <w:spacing w:before="0" w:after="283"/>
              <w:jc w:val="both"/>
              <w:rPr/>
            </w:pPr>
            <w:r>
              <w:rPr/>
              <w:t>For Iridium, the unaudited condensed consolidated financial statements as of June 30, 2026.</w:t>
            </w:r>
          </w:p>
        </w:tc>
      </w:tr>
    </w:tbl>
    <w:p>
      <w:pPr>
        <w:pStyle w:val="TextBody"/>
        <w:bidi w:val="0"/>
        <w:ind w:left="0" w:right="0" w:firstLine="720"/>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condensed combined statement of operations for the six months ended June 30, 2026, gives effect to the Purchase as if it had occurred on January 1, 2025, and is derived from:</w:t>
      </w:r>
    </w:p>
    <w:p>
      <w:pPr>
        <w:pStyle w:val="TextBody"/>
        <w:bidi w:val="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For the Company, the unaudited condensed consolidated financial statements for the six months ended June 30, 2026.</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For Iridium, the unaudited condensed consolidated financial statements for the six months ended June 30, 2026.</w:t>
            </w:r>
          </w:p>
        </w:tc>
      </w:tr>
    </w:tbl>
    <w:p>
      <w:pPr>
        <w:pStyle w:val="TextBody"/>
        <w:bidi w:val="0"/>
        <w:ind w:left="0" w:right="0" w:firstLine="720"/>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condensed combined statement of operations for the year ended December 31, 2025, gives effect to the Purchase as if it had occurred on January 1, 2025, and is derived from:</w:t>
      </w:r>
    </w:p>
    <w:p>
      <w:pPr>
        <w:pStyle w:val="TextBody"/>
        <w:bidi w:val="0"/>
        <w:ind w:left="720" w:right="0" w:hanging="360"/>
        <w:jc w:val="both"/>
        <w:rPr>
          <w:caps w:val="false"/>
          <w:smallCaps w:val="false"/>
        </w:rPr>
      </w:pPr>
      <w:r>
        <w:rPr>
          <w:caps w:val="false"/>
          <w:smallCaps w:val="false"/>
        </w:rPr>
        <w:t> </w:t>
      </w:r>
    </w:p>
    <w:tbl>
      <w:tblPr>
        <w:tblW w:w="10015" w:type="dxa"/>
        <w:jc w:val="left"/>
        <w:tblInd w:w="0" w:type="dxa"/>
        <w:tblLayout w:type="fixed"/>
        <w:tblCellMar>
          <w:top w:w="0" w:type="dxa"/>
          <w:left w:w="0" w:type="dxa"/>
          <w:bottom w:w="0" w:type="dxa"/>
          <w:right w:w="0" w:type="dxa"/>
        </w:tblCellMar>
      </w:tblPr>
      <w:tblGrid>
        <w:gridCol w:w="75"/>
        <w:gridCol w:w="170"/>
        <w:gridCol w:w="977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770" w:type="dxa"/>
            <w:tcBorders/>
            <w:vAlign w:val="center"/>
          </w:tcPr>
          <w:p>
            <w:pPr>
              <w:pStyle w:val="TableContents"/>
              <w:bidi w:val="0"/>
              <w:spacing w:before="0" w:after="283"/>
              <w:jc w:val="both"/>
              <w:rPr/>
            </w:pPr>
            <w:r>
              <w:rPr/>
              <w:t>For the Company, the audited consolidated financial statements for the year ended December 31, 2025.</w:t>
            </w:r>
          </w:p>
        </w:tc>
      </w:tr>
    </w:tbl>
    <w:p>
      <w:pPr>
        <w:pStyle w:val="TextBody"/>
        <w:bidi w:val="0"/>
        <w:spacing w:before="0" w:after="283"/>
        <w:jc w:val="left"/>
        <w:rPr/>
      </w:pPr>
      <w:r>
        <w:rPr/>
        <w:t> </w:t>
      </w:r>
    </w:p>
    <w:tbl>
      <w:tblPr>
        <w:tblW w:w="9430" w:type="dxa"/>
        <w:jc w:val="left"/>
        <w:tblInd w:w="0" w:type="dxa"/>
        <w:tblLayout w:type="fixed"/>
        <w:tblCellMar>
          <w:top w:w="0" w:type="dxa"/>
          <w:left w:w="0" w:type="dxa"/>
          <w:bottom w:w="0" w:type="dxa"/>
          <w:right w:w="0" w:type="dxa"/>
        </w:tblCellMar>
      </w:tblPr>
      <w:tblGrid>
        <w:gridCol w:w="75"/>
        <w:gridCol w:w="170"/>
        <w:gridCol w:w="918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185" w:type="dxa"/>
            <w:tcBorders/>
            <w:vAlign w:val="center"/>
          </w:tcPr>
          <w:p>
            <w:pPr>
              <w:pStyle w:val="TableContents"/>
              <w:bidi w:val="0"/>
              <w:spacing w:before="0" w:after="283"/>
              <w:jc w:val="both"/>
              <w:rPr/>
            </w:pPr>
            <w:r>
              <w:rPr/>
              <w:t>For Iridium, the audited consolidated financial statements for the year ended December 31, 2025.</w:t>
            </w:r>
          </w:p>
        </w:tc>
      </w:tr>
    </w:tbl>
    <w:p>
      <w:pPr>
        <w:pStyle w:val="TextBody"/>
        <w:bidi w:val="0"/>
        <w:ind w:left="0" w:right="0" w:firstLine="540"/>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information should be read together with Rocket Lab’s (i) audited consolidated financial statements and related notes in Rocket Lab’s Annual Report on Form 10-K for the year ended December 31, 2025 filed with the Securities and Exchange Commission (“SEC”) on February 26, 2026 and (ii) unaudited condensed consolidated financial statements and related notes in Rocket Lab’s Quarterly Report on Form 10-Q for the six months ended June 30, 2026 filed with the SEC on August 10, 2026 and Iridium’s (i) audited consolidated financial statements for the year ended December 31, 2025 and related notes included in Exhibit 99.1 to this Current Report on Form 8-K and (ii) unaudited condensed consolidated financial statements for the six months ended June 30, 2026 and related notes included in Exhibit 99.2 to this Current Report on Form 8-K.</w:t>
      </w:r>
    </w:p>
    <w:p>
      <w:pPr>
        <w:pStyle w:val="TextBody"/>
        <w:bidi w:val="0"/>
        <w:ind w:left="0" w:right="0" w:firstLine="720"/>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condensed combined financial information has been prepared by the Company using the acquisition method of accounting for the Purchase, where the Company is the “accounting acquirer” and Iridium is the “accounting acquiree”. The pro forma adjustments are based upon the information currently available and certain assumptions and estimates that the Company believes are reasonable as of the date hereof as described in the accompanying notes. The following unaudited pro forma condensed combined balance sheet as of June 30, 2026, and the unaudited pro forma condensed combined statements of operations for the six months ended June 30, 2026, and for the year ended December 31, 2025, are based on the historical financial statements of Rocket Lab and Iridium. Unless otherwise indicated, all amounts presented in the unaudited pro forma condensed combined financial information and accompanying notes are expressed in thousands of U.S. dollars, except share and per share amounts. These unaudited pro forma condensed combined financial statements and information are provided for illustrative and informational purposes only. They do not purport to represent or be indicative of the consolidated results of operations or financial condition of the Company had the Purchase been completed as of the assumed date or for the periods presented, or which may be realized in the future, and should not be construed as representative of the future consolidated results of operations or financial condition of the combined entity. Actual results may differ materially from the assumptions within the accompanying unaudited pro forma condensed combined financial information.</w:t>
      </w:r>
    </w:p>
    <w:p>
      <w:pPr>
        <w:pStyle w:val="TextBody"/>
        <w:bidi w:val="0"/>
        <w:ind w:left="0" w:right="0" w:firstLine="720"/>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the unaudited pro forma condensed combined financial information, “Historical” refers to Rocket Lab’s and Iridium’s respective audited consolidated financial statement amounts or unaudited consolidated condensed financial statement amounts prior to giving effect to the Mergers. “Historical, as Reclassified” refers to</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Iridium’s historical audited consolidated financial statement amounts or unaudited consolidated condensed financial statement amounts after giving effect to the reclassification adjustments described in Note 3, which were made to conform Iridium’s financial statement presentation to Rocket Lab’s presentation.</w:t>
      </w:r>
    </w:p>
    <w:p>
      <w:pPr>
        <w:pStyle w:val="TextBody"/>
        <w:bidi w:val="0"/>
        <w:ind w:left="0" w:right="0" w:firstLine="720"/>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updated determination of the fair value of Iridium’s assets acquired and liabilities assumed will be performed within one year after the Closing. The final purchase price allocation may be materially different from the preliminary purchase consideration allocation presented in the unaudited pro forma condensed combined financial information. Any changes in the fair values of the net assets or total purchase consideration as compared with the information shown in the unaudited pro forma condensed combined financial information may change the amount of the total purchase price allocated to goodwill, and other assets and liabilities, which may impact the combined entity’s balance sheet and statement of operations. As a result of the foregoing, the pro forma adjustments are preliminary and differences between these preliminary estimates and the final acquisition accounting may arise that could have a material impact on the accompanying unaudited pro forma condensed combined financial information and the combined entity’s future results of operations and financial position.</w:t>
      </w:r>
    </w:p>
    <w:p>
      <w:pPr>
        <w:pStyle w:val="TextBody"/>
        <w:bidi w:val="0"/>
        <w:jc w:val="left"/>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condensed combined financial information does not reflect any expected cost savings, operating synergies, or revenue enhancements that the combined entity may achieve as a result of the Purchase or the costs necessary to achieve any such cost savings, operating synergies, or revenue enhancements.</w:t>
      </w:r>
    </w:p>
    <w:p>
      <w:pPr>
        <w:pStyle w:val="TextBody"/>
        <w:bidi w:val="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PRO FORMA CONDENSED COMBINED BALANCE SHEET</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JUNE 30, 2026</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values)</w:t>
      </w:r>
    </w:p>
    <w:p>
      <w:pPr>
        <w:pStyle w:val="TextBody"/>
        <w:bidi w:val="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683"/>
        <w:gridCol w:w="60"/>
        <w:gridCol w:w="110"/>
        <w:gridCol w:w="800"/>
        <w:gridCol w:w="80"/>
        <w:gridCol w:w="60"/>
        <w:gridCol w:w="122"/>
        <w:gridCol w:w="777"/>
        <w:gridCol w:w="80"/>
        <w:gridCol w:w="60"/>
        <w:gridCol w:w="117"/>
        <w:gridCol w:w="862"/>
        <w:gridCol w:w="80"/>
        <w:gridCol w:w="60"/>
        <w:gridCol w:w="477"/>
        <w:gridCol w:w="60"/>
        <w:gridCol w:w="131"/>
        <w:gridCol w:w="894"/>
        <w:gridCol w:w="60"/>
        <w:gridCol w:w="60"/>
        <w:gridCol w:w="473"/>
        <w:gridCol w:w="60"/>
        <w:gridCol w:w="110"/>
        <w:gridCol w:w="830"/>
        <w:gridCol w:w="99"/>
      </w:tblGrid>
      <w:tr>
        <w:trPr/>
        <w:tc>
          <w:tcPr>
            <w:tcW w:w="368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10"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99" w:type="dxa"/>
            <w:gridSpan w:val="2"/>
            <w:tcBorders/>
            <w:vAlign w:val="center"/>
          </w:tcPr>
          <w:p>
            <w:pPr>
              <w:pStyle w:val="TableContents"/>
              <w:bidi w:val="0"/>
              <w:spacing w:before="0" w:after="283"/>
              <w:jc w:val="center"/>
              <w:rPr>
                <w:b/>
                <w:sz w:val="16"/>
              </w:rPr>
            </w:pPr>
            <w:r>
              <w:rPr>
                <w:b/>
                <w:sz w:val="16"/>
              </w:rPr>
              <w:t>Iridium</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79" w:type="dxa"/>
            <w:gridSpan w:val="2"/>
            <w:tcBorders/>
            <w:vAlign w:val="center"/>
          </w:tcPr>
          <w:p>
            <w:pPr>
              <w:pStyle w:val="TableContents"/>
              <w:bidi w:val="0"/>
              <w:spacing w:before="0" w:after="283"/>
              <w:jc w:val="center"/>
              <w:rPr/>
            </w:pPr>
            <w:r>
              <w:rPr/>
              <w:t> </w:t>
            </w:r>
            <w:r>
              <w:rPr>
                <w:b/>
                <w:sz w:val="16"/>
              </w:rPr>
              <w:t>Transaction</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47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25" w:type="dxa"/>
            <w:gridSpan w:val="2"/>
            <w:tcBorders/>
            <w:vAlign w:val="center"/>
          </w:tcPr>
          <w:p>
            <w:pPr>
              <w:pStyle w:val="TableContents"/>
              <w:bidi w:val="0"/>
              <w:spacing w:before="0" w:after="283"/>
              <w:jc w:val="center"/>
              <w:rPr/>
            </w:pPr>
            <w:r>
              <w:rPr/>
              <w:t> </w:t>
            </w:r>
            <w:r>
              <w:rPr>
                <w:b/>
                <w:sz w:val="16"/>
              </w:rPr>
              <w:t>Transaction</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47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40" w:type="dxa"/>
            <w:gridSpan w:val="2"/>
            <w:tcBorders/>
            <w:vAlign w:val="center"/>
          </w:tcPr>
          <w:p>
            <w:pPr>
              <w:pStyle w:val="TableContents"/>
              <w:bidi w:val="0"/>
              <w:spacing w:before="0" w:after="283"/>
              <w:jc w:val="center"/>
              <w:rPr/>
            </w:pPr>
            <w:r>
              <w:rPr/>
              <w:t> </w:t>
            </w:r>
          </w:p>
        </w:tc>
        <w:tc>
          <w:tcPr>
            <w:tcW w:w="99" w:type="dxa"/>
            <w:tcBorders/>
            <w:vAlign w:val="center"/>
          </w:tcPr>
          <w:p>
            <w:pPr>
              <w:pStyle w:val="TableContents"/>
              <w:bidi w:val="0"/>
              <w:spacing w:before="0" w:after="283"/>
              <w:jc w:val="center"/>
              <w:rPr/>
            </w:pPr>
            <w:r>
              <w:rPr/>
              <w:t> </w:t>
            </w:r>
          </w:p>
        </w:tc>
      </w:tr>
      <w:tr>
        <w:trPr/>
        <w:tc>
          <w:tcPr>
            <w:tcW w:w="368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center"/>
              <w:rPr/>
            </w:pPr>
            <w:r>
              <w:rPr/>
              <w:t> </w:t>
            </w:r>
          </w:p>
        </w:tc>
        <w:tc>
          <w:tcPr>
            <w:tcW w:w="910"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9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Historical, as </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79" w:type="dxa"/>
            <w:gridSpan w:val="2"/>
            <w:tcBorders/>
            <w:vAlign w:val="center"/>
          </w:tcPr>
          <w:p>
            <w:pPr>
              <w:pStyle w:val="TableContents"/>
              <w:bidi w:val="0"/>
              <w:spacing w:before="0" w:after="283"/>
              <w:jc w:val="center"/>
              <w:rPr>
                <w:b/>
                <w:sz w:val="16"/>
              </w:rPr>
            </w:pPr>
            <w:r>
              <w:rPr>
                <w:b/>
                <w:sz w:val="16"/>
              </w:rPr>
              <w:t>Accounting</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47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2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Accounting</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47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40"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99" w:type="dxa"/>
            <w:tcBorders/>
            <w:vAlign w:val="center"/>
          </w:tcPr>
          <w:p>
            <w:pPr>
              <w:pStyle w:val="TableContents"/>
              <w:bidi w:val="0"/>
              <w:spacing w:before="0" w:after="283"/>
              <w:jc w:val="center"/>
              <w:rPr/>
            </w:pPr>
            <w:r>
              <w:rPr/>
              <w:t> </w:t>
            </w:r>
          </w:p>
        </w:tc>
      </w:tr>
      <w:tr>
        <w:trPr/>
        <w:tc>
          <w:tcPr>
            <w:tcW w:w="368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10" w:type="dxa"/>
            <w:gridSpan w:val="2"/>
            <w:tcBorders/>
            <w:vAlign w:val="center"/>
          </w:tcPr>
          <w:p>
            <w:pPr>
              <w:pStyle w:val="TableContents"/>
              <w:bidi w:val="0"/>
              <w:spacing w:before="0" w:after="283"/>
              <w:jc w:val="center"/>
              <w:rPr>
                <w:b/>
                <w:sz w:val="16"/>
              </w:rPr>
            </w:pPr>
            <w:r>
              <w:rPr>
                <w:b/>
                <w:sz w:val="16"/>
              </w:rPr>
              <w:t>Rocket Lab</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99" w:type="dxa"/>
            <w:gridSpan w:val="2"/>
            <w:tcBorders/>
            <w:vAlign w:val="center"/>
          </w:tcPr>
          <w:p>
            <w:pPr>
              <w:pStyle w:val="TableContents"/>
              <w:bidi w:val="0"/>
              <w:spacing w:before="0" w:after="283"/>
              <w:jc w:val="center"/>
              <w:rPr>
                <w:b/>
                <w:sz w:val="16"/>
              </w:rPr>
            </w:pPr>
            <w:r>
              <w:rPr>
                <w:b/>
                <w:sz w:val="16"/>
              </w:rPr>
              <w:t>Reclassified</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79" w:type="dxa"/>
            <w:gridSpan w:val="2"/>
            <w:tcBorders/>
            <w:vAlign w:val="center"/>
          </w:tcPr>
          <w:p>
            <w:pPr>
              <w:pStyle w:val="TableContents"/>
              <w:bidi w:val="0"/>
              <w:spacing w:before="0" w:after="283"/>
              <w:jc w:val="center"/>
              <w:rPr>
                <w:sz w:val="16"/>
              </w:rPr>
            </w:pPr>
            <w:r>
              <w:rPr>
                <w:b/>
                <w:sz w:val="16"/>
              </w:rPr>
              <w:t>Adjustments -</w:t>
            </w:r>
            <w:r>
              <w:rPr>
                <w:sz w:val="16"/>
              </w:rPr>
              <w:t xml:space="preserve"> </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47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25" w:type="dxa"/>
            <w:gridSpan w:val="2"/>
            <w:tcBorders/>
            <w:vAlign w:val="center"/>
          </w:tcPr>
          <w:p>
            <w:pPr>
              <w:pStyle w:val="TableContents"/>
              <w:bidi w:val="0"/>
              <w:spacing w:before="0" w:after="283"/>
              <w:jc w:val="center"/>
              <w:rPr>
                <w:sz w:val="16"/>
              </w:rPr>
            </w:pPr>
            <w:r>
              <w:rPr>
                <w:b/>
                <w:sz w:val="16"/>
              </w:rPr>
              <w:t>Adjustments </w:t>
            </w:r>
            <w:r>
              <w:rPr>
                <w:sz w:val="16"/>
              </w:rPr>
              <w:t>-</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47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40" w:type="dxa"/>
            <w:gridSpan w:val="2"/>
            <w:tcBorders/>
            <w:vAlign w:val="center"/>
          </w:tcPr>
          <w:p>
            <w:pPr>
              <w:pStyle w:val="TableContents"/>
              <w:bidi w:val="0"/>
              <w:spacing w:before="0" w:after="283"/>
              <w:jc w:val="center"/>
              <w:rPr>
                <w:b/>
                <w:sz w:val="16"/>
              </w:rPr>
            </w:pPr>
            <w:r>
              <w:rPr>
                <w:b/>
                <w:sz w:val="16"/>
              </w:rPr>
              <w:t>Pro Forma</w:t>
            </w:r>
          </w:p>
        </w:tc>
        <w:tc>
          <w:tcPr>
            <w:tcW w:w="99" w:type="dxa"/>
            <w:tcBorders/>
            <w:vAlign w:val="center"/>
          </w:tcPr>
          <w:p>
            <w:pPr>
              <w:pStyle w:val="TableContents"/>
              <w:bidi w:val="0"/>
              <w:spacing w:before="0" w:after="283"/>
              <w:jc w:val="center"/>
              <w:rPr/>
            </w:pPr>
            <w:r>
              <w:rPr/>
              <w:t> </w:t>
            </w:r>
          </w:p>
        </w:tc>
      </w:tr>
      <w:tr>
        <w:trPr/>
        <w:tc>
          <w:tcPr>
            <w:tcW w:w="368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10"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(Historical)</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99"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(Note 3)</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7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Purchase</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477" w:type="dxa"/>
            <w:tcBorders>
              <w:bottom w:val="single" w:sz="8" w:space="0" w:color="000000"/>
            </w:tcBorders>
            <w:tcMar>
              <w:bottom w:w="28" w:type="dxa"/>
            </w:tcMar>
            <w:vAlign w:val="center"/>
          </w:tcPr>
          <w:p>
            <w:pPr>
              <w:pStyle w:val="TableContents"/>
              <w:bidi w:val="0"/>
              <w:spacing w:before="0" w:after="283"/>
              <w:jc w:val="center"/>
              <w:rPr>
                <w:b/>
                <w:sz w:val="16"/>
              </w:rPr>
            </w:pPr>
            <w:r>
              <w:rPr>
                <w:b/>
                <w:sz w:val="16"/>
              </w:rPr>
              <w:t>(Note 5)</w:t>
            </w:r>
          </w:p>
        </w:tc>
        <w:tc>
          <w:tcPr>
            <w:tcW w:w="60" w:type="dxa"/>
            <w:tcBorders/>
            <w:vAlign w:val="center"/>
          </w:tcPr>
          <w:p>
            <w:pPr>
              <w:pStyle w:val="TableContents"/>
              <w:bidi w:val="0"/>
              <w:spacing w:before="0" w:after="283"/>
              <w:jc w:val="center"/>
              <w:rPr/>
            </w:pPr>
            <w:r>
              <w:rPr/>
              <w:t> </w:t>
            </w:r>
          </w:p>
        </w:tc>
        <w:tc>
          <w:tcPr>
            <w:tcW w:w="1025" w:type="dxa"/>
            <w:gridSpan w:val="2"/>
            <w:tcBorders>
              <w:bottom w:val="single" w:sz="8" w:space="0" w:color="000000"/>
            </w:tcBorders>
            <w:tcMar>
              <w:bottom w:w="28" w:type="dxa"/>
            </w:tcMar>
            <w:vAlign w:val="center"/>
          </w:tcPr>
          <w:p>
            <w:pPr>
              <w:pStyle w:val="TableContents"/>
              <w:bidi w:val="0"/>
              <w:spacing w:before="0" w:after="283"/>
              <w:jc w:val="center"/>
              <w:rPr>
                <w:caps w:val="false"/>
                <w:smallCaps w:val="false"/>
              </w:rPr>
            </w:pPr>
            <w:r>
              <w:rPr>
                <w:caps w:val="false"/>
                <w:smallCaps w:val="false"/>
              </w:rPr>
              <w:t> </w:t>
            </w:r>
            <w:r>
              <w:rPr>
                <w:rFonts w:ascii="Times New Roman;Times;Serif" w:hAnsi="Times New Roman;Times;Serif"/>
                <w:b/>
                <w:i w:val="false"/>
                <w:caps w:val="false"/>
                <w:smallCaps w:val="false"/>
                <w:sz w:val="16"/>
              </w:rPr>
              <w:t>Financing</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473" w:type="dxa"/>
            <w:tcBorders>
              <w:bottom w:val="single" w:sz="8" w:space="0" w:color="000000"/>
            </w:tcBorders>
            <w:tcMar>
              <w:bottom w:w="28" w:type="dxa"/>
            </w:tcMar>
            <w:vAlign w:val="center"/>
          </w:tcPr>
          <w:p>
            <w:pPr>
              <w:pStyle w:val="TableContents"/>
              <w:bidi w:val="0"/>
              <w:spacing w:before="0" w:after="283"/>
              <w:jc w:val="center"/>
              <w:rPr>
                <w:b/>
                <w:sz w:val="16"/>
              </w:rPr>
            </w:pPr>
            <w:r>
              <w:rPr>
                <w:b/>
                <w:sz w:val="16"/>
              </w:rPr>
              <w:t>(Note 6)</w:t>
            </w:r>
          </w:p>
        </w:tc>
        <w:tc>
          <w:tcPr>
            <w:tcW w:w="60" w:type="dxa"/>
            <w:tcBorders/>
            <w:vAlign w:val="center"/>
          </w:tcPr>
          <w:p>
            <w:pPr>
              <w:pStyle w:val="TableContents"/>
              <w:bidi w:val="0"/>
              <w:spacing w:before="0" w:after="283"/>
              <w:jc w:val="center"/>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Combined</w:t>
            </w:r>
          </w:p>
        </w:tc>
        <w:tc>
          <w:tcPr>
            <w:tcW w:w="99" w:type="dxa"/>
            <w:tcBorders/>
            <w:vAlign w:val="center"/>
          </w:tcPr>
          <w:p>
            <w:pPr>
              <w:pStyle w:val="TableContents"/>
              <w:bidi w:val="0"/>
              <w:spacing w:before="0" w:after="283"/>
              <w:jc w:val="center"/>
              <w:rPr/>
            </w:pPr>
            <w:r>
              <w:rPr/>
              <w:t> </w:t>
            </w:r>
          </w:p>
        </w:tc>
      </w:tr>
      <w:tr>
        <w:trPr/>
        <w:tc>
          <w:tcPr>
            <w:tcW w:w="3683" w:type="dxa"/>
            <w:tcBorders/>
            <w:shd w:fill="CCEEFF" w:val="clear"/>
            <w:vAlign w:val="center"/>
          </w:tcPr>
          <w:p>
            <w:pPr>
              <w:pStyle w:val="TableContents"/>
              <w:bidi w:val="0"/>
              <w:spacing w:before="0" w:after="283"/>
              <w:jc w:val="left"/>
              <w:rPr>
                <w:b/>
                <w:sz w:val="16"/>
              </w:rPr>
            </w:pPr>
            <w:r>
              <w:rPr>
                <w:b/>
                <w:sz w:val="16"/>
              </w:rPr>
              <w:t>Assets</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77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862"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7"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89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3"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99" w:type="dxa"/>
            <w:tcBorders/>
            <w:shd w:fill="CCEEFF" w:val="clear"/>
            <w:vAlign w:val="center"/>
          </w:tcPr>
          <w:p>
            <w:pPr>
              <w:pStyle w:val="TableContents"/>
              <w:bidi w:val="0"/>
              <w:spacing w:before="0" w:after="283"/>
              <w:jc w:val="left"/>
              <w:rPr/>
            </w:pPr>
            <w:r>
              <w:rPr/>
              <w:t> </w:t>
            </w:r>
          </w:p>
        </w:tc>
      </w:tr>
      <w:tr>
        <w:trPr/>
        <w:tc>
          <w:tcPr>
            <w:tcW w:w="3683" w:type="dxa"/>
            <w:tcBorders/>
            <w:shd w:fill="FFFFFF" w:val="clear"/>
            <w:vAlign w:val="center"/>
          </w:tcPr>
          <w:p>
            <w:pPr>
              <w:pStyle w:val="TableContents"/>
              <w:bidi w:val="0"/>
              <w:spacing w:before="0" w:after="283"/>
              <w:jc w:val="left"/>
              <w:rPr>
                <w:sz w:val="16"/>
              </w:rPr>
            </w:pPr>
            <w:r>
              <w:rPr>
                <w:sz w:val="16"/>
              </w:rPr>
              <w:t>Current assets:</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77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7"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89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3"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 </w:t>
            </w:r>
          </w:p>
        </w:tc>
        <w:tc>
          <w:tcPr>
            <w:tcW w:w="99" w:type="dxa"/>
            <w:tcBorders/>
            <w:shd w:fill="FFFFFF" w:val="clear"/>
            <w:vAlign w:val="center"/>
          </w:tcPr>
          <w:p>
            <w:pPr>
              <w:pStyle w:val="TableContents"/>
              <w:bidi w:val="0"/>
              <w:spacing w:before="0" w:after="283"/>
              <w:jc w:val="left"/>
              <w:rPr/>
            </w:pPr>
            <w:r>
              <w:rPr/>
              <w:t> </w:t>
            </w:r>
          </w:p>
        </w:tc>
      </w:tr>
      <w:tr>
        <w:trPr/>
        <w:tc>
          <w:tcPr>
            <w:tcW w:w="3683" w:type="dxa"/>
            <w:tcBorders/>
            <w:shd w:fill="CCEEFF" w:val="clear"/>
            <w:vAlign w:val="center"/>
          </w:tcPr>
          <w:p>
            <w:pPr>
              <w:pStyle w:val="TableContents"/>
              <w:bidi w:val="0"/>
              <w:spacing w:before="0" w:after="283"/>
              <w:jc w:val="left"/>
              <w:rPr>
                <w:sz w:val="16"/>
              </w:rPr>
            </w:pPr>
            <w:r>
              <w:rPr>
                <w:sz w:val="16"/>
              </w:rPr>
              <w:t>Cash and cash equivalents</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sz w:val="16"/>
              </w:rPr>
            </w:pPr>
            <w:r>
              <w:rPr>
                <w:sz w:val="16"/>
              </w:rPr>
              <w:t>$</w:t>
            </w:r>
          </w:p>
        </w:tc>
        <w:tc>
          <w:tcPr>
            <w:tcW w:w="800" w:type="dxa"/>
            <w:tcBorders/>
            <w:shd w:fill="CCEEFF" w:val="clear"/>
            <w:vAlign w:val="center"/>
          </w:tcPr>
          <w:p>
            <w:pPr>
              <w:pStyle w:val="TableContents"/>
              <w:bidi w:val="0"/>
              <w:spacing w:before="0" w:after="283"/>
              <w:jc w:val="right"/>
              <w:rPr>
                <w:sz w:val="16"/>
              </w:rPr>
            </w:pPr>
            <w:r>
              <w:rPr>
                <w:sz w:val="16"/>
              </w:rPr>
              <w:t>2,129,485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sz w:val="16"/>
              </w:rPr>
            </w:pPr>
            <w:r>
              <w:rPr>
                <w:sz w:val="16"/>
              </w:rPr>
              <w:t>$</w:t>
            </w:r>
          </w:p>
        </w:tc>
        <w:tc>
          <w:tcPr>
            <w:tcW w:w="777" w:type="dxa"/>
            <w:tcBorders/>
            <w:shd w:fill="CCEEFF" w:val="clear"/>
            <w:vAlign w:val="center"/>
          </w:tcPr>
          <w:p>
            <w:pPr>
              <w:pStyle w:val="TableContents"/>
              <w:bidi w:val="0"/>
              <w:spacing w:before="0" w:after="283"/>
              <w:jc w:val="right"/>
              <w:rPr>
                <w:sz w:val="16"/>
              </w:rPr>
            </w:pPr>
            <w:r>
              <w:rPr>
                <w:sz w:val="16"/>
              </w:rPr>
              <w:t>184,214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sz w:val="16"/>
              </w:rPr>
            </w:pPr>
            <w:r>
              <w:rPr>
                <w:sz w:val="16"/>
              </w:rPr>
              <w:t>$</w:t>
            </w:r>
          </w:p>
        </w:tc>
        <w:tc>
          <w:tcPr>
            <w:tcW w:w="862" w:type="dxa"/>
            <w:tcBorders/>
            <w:shd w:fill="CCEEFF" w:val="clear"/>
            <w:vAlign w:val="center"/>
          </w:tcPr>
          <w:p>
            <w:pPr>
              <w:pStyle w:val="TableContents"/>
              <w:bidi w:val="0"/>
              <w:spacing w:before="0" w:after="283"/>
              <w:jc w:val="right"/>
              <w:rPr>
                <w:sz w:val="16"/>
              </w:rPr>
            </w:pPr>
            <w:r>
              <w:rPr>
                <w:sz w:val="16"/>
              </w:rPr>
              <w:t>(4,882,776</w:t>
            </w:r>
          </w:p>
        </w:tc>
        <w:tc>
          <w:tcPr>
            <w:tcW w:w="80"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477" w:type="dxa"/>
            <w:tcBorders/>
            <w:shd w:fill="CCEEFF" w:val="clear"/>
            <w:vAlign w:val="center"/>
          </w:tcPr>
          <w:p>
            <w:pPr>
              <w:pStyle w:val="TableContents"/>
              <w:bidi w:val="0"/>
              <w:spacing w:before="0" w:after="283"/>
              <w:jc w:val="center"/>
              <w:rPr>
                <w:sz w:val="16"/>
              </w:rPr>
            </w:pPr>
            <w:r>
              <w:rPr>
                <w:sz w:val="16"/>
              </w:rPr>
              <w:t>(a)(b)(h)</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sz w:val="16"/>
              </w:rPr>
            </w:pPr>
            <w:r>
              <w:rPr>
                <w:sz w:val="16"/>
              </w:rPr>
              <w:t>$</w:t>
            </w:r>
          </w:p>
        </w:tc>
        <w:tc>
          <w:tcPr>
            <w:tcW w:w="894" w:type="dxa"/>
            <w:tcBorders/>
            <w:shd w:fill="CCEEFF" w:val="clear"/>
            <w:vAlign w:val="center"/>
          </w:tcPr>
          <w:p>
            <w:pPr>
              <w:pStyle w:val="TableContents"/>
              <w:bidi w:val="0"/>
              <w:spacing w:before="0" w:after="283"/>
              <w:jc w:val="right"/>
              <w:rPr>
                <w:sz w:val="16"/>
              </w:rPr>
            </w:pPr>
            <w:r>
              <w:rPr>
                <w:sz w:val="16"/>
              </w:rPr>
              <w:t>3,574,340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3" w:type="dxa"/>
            <w:tcBorders/>
            <w:shd w:fill="CCEEFF" w:val="clear"/>
            <w:vAlign w:val="center"/>
          </w:tcPr>
          <w:p>
            <w:pPr>
              <w:pStyle w:val="TableContents"/>
              <w:bidi w:val="0"/>
              <w:spacing w:before="0" w:after="283"/>
              <w:jc w:val="center"/>
              <w:rPr>
                <w:sz w:val="16"/>
              </w:rPr>
            </w:pPr>
            <w:r>
              <w:rPr>
                <w:sz w:val="16"/>
              </w:rPr>
              <w:t>(a)</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sz w:val="16"/>
              </w:rPr>
            </w:pPr>
            <w:r>
              <w:rPr>
                <w:sz w:val="16"/>
              </w:rPr>
              <w:t>$</w:t>
            </w:r>
          </w:p>
        </w:tc>
        <w:tc>
          <w:tcPr>
            <w:tcW w:w="830" w:type="dxa"/>
            <w:tcBorders/>
            <w:shd w:fill="CCEEFF" w:val="clear"/>
            <w:vAlign w:val="center"/>
          </w:tcPr>
          <w:p>
            <w:pPr>
              <w:pStyle w:val="TableContents"/>
              <w:bidi w:val="0"/>
              <w:spacing w:before="0" w:after="283"/>
              <w:jc w:val="right"/>
              <w:rPr>
                <w:sz w:val="16"/>
              </w:rPr>
            </w:pPr>
            <w:r>
              <w:rPr>
                <w:sz w:val="16"/>
              </w:rPr>
              <w:t>1,005,263</w:t>
            </w:r>
          </w:p>
        </w:tc>
        <w:tc>
          <w:tcPr>
            <w:tcW w:w="99" w:type="dxa"/>
            <w:tcBorders/>
            <w:shd w:fill="CCEEFF" w:val="clear"/>
            <w:vAlign w:val="center"/>
          </w:tcPr>
          <w:p>
            <w:pPr>
              <w:pStyle w:val="TableContents"/>
              <w:bidi w:val="0"/>
              <w:spacing w:before="0" w:after="283"/>
              <w:jc w:val="left"/>
              <w:rPr/>
            </w:pPr>
            <w:r>
              <w:rPr/>
              <w:t> </w:t>
            </w:r>
          </w:p>
        </w:tc>
      </w:tr>
      <w:tr>
        <w:trPr/>
        <w:tc>
          <w:tcPr>
            <w:tcW w:w="3683" w:type="dxa"/>
            <w:tcBorders/>
            <w:shd w:fill="FFFFFF" w:val="clear"/>
            <w:vAlign w:val="center"/>
          </w:tcPr>
          <w:p>
            <w:pPr>
              <w:pStyle w:val="TableContents"/>
              <w:bidi w:val="0"/>
              <w:spacing w:before="0" w:after="283"/>
              <w:jc w:val="left"/>
              <w:rPr>
                <w:sz w:val="16"/>
              </w:rPr>
            </w:pPr>
            <w:r>
              <w:rPr>
                <w:sz w:val="16"/>
              </w:rPr>
              <w:t>Marketable securities, current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sz w:val="16"/>
              </w:rPr>
            </w:pPr>
            <w:r>
              <w:rPr>
                <w:sz w:val="16"/>
              </w:rPr>
              <w:t>172,700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777"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7"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89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3"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sz w:val="16"/>
              </w:rPr>
            </w:pPr>
            <w:r>
              <w:rPr>
                <w:sz w:val="16"/>
              </w:rPr>
              <w:t>172,700</w:t>
            </w:r>
          </w:p>
        </w:tc>
        <w:tc>
          <w:tcPr>
            <w:tcW w:w="99" w:type="dxa"/>
            <w:tcBorders/>
            <w:shd w:fill="FFFFFF" w:val="clear"/>
            <w:vAlign w:val="center"/>
          </w:tcPr>
          <w:p>
            <w:pPr>
              <w:pStyle w:val="TableContents"/>
              <w:bidi w:val="0"/>
              <w:spacing w:before="0" w:after="283"/>
              <w:jc w:val="left"/>
              <w:rPr/>
            </w:pPr>
            <w:r>
              <w:rPr/>
              <w:t> </w:t>
            </w:r>
          </w:p>
        </w:tc>
      </w:tr>
      <w:tr>
        <w:trPr/>
        <w:tc>
          <w:tcPr>
            <w:tcW w:w="3683" w:type="dxa"/>
            <w:tcBorders/>
            <w:shd w:fill="CCEEFF" w:val="clear"/>
            <w:vAlign w:val="center"/>
          </w:tcPr>
          <w:p>
            <w:pPr>
              <w:pStyle w:val="TableContents"/>
              <w:bidi w:val="0"/>
              <w:spacing w:before="0" w:after="283"/>
              <w:jc w:val="left"/>
              <w:rPr>
                <w:sz w:val="16"/>
              </w:rPr>
            </w:pPr>
            <w:r>
              <w:rPr>
                <w:sz w:val="16"/>
              </w:rPr>
              <w:t>Accounts receivable, net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sz w:val="16"/>
              </w:rPr>
            </w:pPr>
            <w:r>
              <w:rPr>
                <w:sz w:val="16"/>
              </w:rPr>
              <w:t>112,889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777" w:type="dxa"/>
            <w:tcBorders/>
            <w:shd w:fill="CCEEFF" w:val="clear"/>
            <w:vAlign w:val="center"/>
          </w:tcPr>
          <w:p>
            <w:pPr>
              <w:pStyle w:val="TableContents"/>
              <w:bidi w:val="0"/>
              <w:spacing w:before="0" w:after="283"/>
              <w:jc w:val="right"/>
              <w:rPr>
                <w:sz w:val="16"/>
              </w:rPr>
            </w:pPr>
            <w:r>
              <w:rPr>
                <w:sz w:val="16"/>
              </w:rPr>
              <w:t>104,515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862"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7"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89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3"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sz w:val="16"/>
              </w:rPr>
            </w:pPr>
            <w:r>
              <w:rPr>
                <w:sz w:val="16"/>
              </w:rPr>
              <w:t>217,404</w:t>
            </w:r>
          </w:p>
        </w:tc>
        <w:tc>
          <w:tcPr>
            <w:tcW w:w="99" w:type="dxa"/>
            <w:tcBorders/>
            <w:shd w:fill="CCEEFF" w:val="clear"/>
            <w:vAlign w:val="center"/>
          </w:tcPr>
          <w:p>
            <w:pPr>
              <w:pStyle w:val="TableContents"/>
              <w:bidi w:val="0"/>
              <w:spacing w:before="0" w:after="283"/>
              <w:jc w:val="left"/>
              <w:rPr/>
            </w:pPr>
            <w:r>
              <w:rPr/>
              <w:t> </w:t>
            </w:r>
          </w:p>
        </w:tc>
      </w:tr>
      <w:tr>
        <w:trPr/>
        <w:tc>
          <w:tcPr>
            <w:tcW w:w="3683" w:type="dxa"/>
            <w:tcBorders/>
            <w:shd w:fill="FFFFFF" w:val="clear"/>
            <w:vAlign w:val="center"/>
          </w:tcPr>
          <w:p>
            <w:pPr>
              <w:pStyle w:val="TableContents"/>
              <w:bidi w:val="0"/>
              <w:spacing w:before="0" w:after="283"/>
              <w:jc w:val="left"/>
              <w:rPr>
                <w:sz w:val="16"/>
              </w:rPr>
            </w:pPr>
            <w:r>
              <w:rPr>
                <w:sz w:val="16"/>
              </w:rPr>
              <w:t>Contract assets</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sz w:val="16"/>
              </w:rPr>
            </w:pPr>
            <w:r>
              <w:rPr>
                <w:sz w:val="16"/>
              </w:rPr>
              <w:t>94,245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777" w:type="dxa"/>
            <w:tcBorders/>
            <w:shd w:fill="FFFFFF" w:val="clear"/>
            <w:vAlign w:val="center"/>
          </w:tcPr>
          <w:p>
            <w:pPr>
              <w:pStyle w:val="TableContents"/>
              <w:bidi w:val="0"/>
              <w:spacing w:before="0" w:after="283"/>
              <w:jc w:val="right"/>
              <w:rPr>
                <w:sz w:val="16"/>
              </w:rPr>
            </w:pPr>
            <w:r>
              <w:rPr>
                <w:sz w:val="16"/>
              </w:rPr>
              <w:t>3,086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7"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89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3"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sz w:val="16"/>
              </w:rPr>
            </w:pPr>
            <w:r>
              <w:rPr>
                <w:sz w:val="16"/>
              </w:rPr>
              <w:t>97,331</w:t>
            </w:r>
          </w:p>
        </w:tc>
        <w:tc>
          <w:tcPr>
            <w:tcW w:w="99" w:type="dxa"/>
            <w:tcBorders/>
            <w:shd w:fill="FFFFFF" w:val="clear"/>
            <w:vAlign w:val="center"/>
          </w:tcPr>
          <w:p>
            <w:pPr>
              <w:pStyle w:val="TableContents"/>
              <w:bidi w:val="0"/>
              <w:spacing w:before="0" w:after="283"/>
              <w:jc w:val="left"/>
              <w:rPr/>
            </w:pPr>
            <w:r>
              <w:rPr/>
              <w:t> </w:t>
            </w:r>
          </w:p>
        </w:tc>
      </w:tr>
      <w:tr>
        <w:trPr/>
        <w:tc>
          <w:tcPr>
            <w:tcW w:w="3683" w:type="dxa"/>
            <w:tcBorders/>
            <w:shd w:fill="CCEEFF" w:val="clear"/>
            <w:vAlign w:val="center"/>
          </w:tcPr>
          <w:p>
            <w:pPr>
              <w:pStyle w:val="TableContents"/>
              <w:bidi w:val="0"/>
              <w:spacing w:before="0" w:after="283"/>
              <w:jc w:val="left"/>
              <w:rPr>
                <w:sz w:val="16"/>
              </w:rPr>
            </w:pPr>
            <w:r>
              <w:rPr>
                <w:sz w:val="16"/>
              </w:rPr>
              <w:t>Inventories</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sz w:val="16"/>
              </w:rPr>
            </w:pPr>
            <w:r>
              <w:rPr>
                <w:sz w:val="16"/>
              </w:rPr>
              <w:t>266,931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777" w:type="dxa"/>
            <w:tcBorders/>
            <w:shd w:fill="CCEEFF" w:val="clear"/>
            <w:vAlign w:val="center"/>
          </w:tcPr>
          <w:p>
            <w:pPr>
              <w:pStyle w:val="TableContents"/>
              <w:bidi w:val="0"/>
              <w:spacing w:before="0" w:after="283"/>
              <w:jc w:val="right"/>
              <w:rPr>
                <w:sz w:val="16"/>
              </w:rPr>
            </w:pPr>
            <w:r>
              <w:rPr>
                <w:sz w:val="16"/>
              </w:rPr>
              <w:t>63,470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862"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7"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89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3"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sz w:val="16"/>
              </w:rPr>
            </w:pPr>
            <w:r>
              <w:rPr>
                <w:sz w:val="16"/>
              </w:rPr>
              <w:t>330,401</w:t>
            </w:r>
          </w:p>
        </w:tc>
        <w:tc>
          <w:tcPr>
            <w:tcW w:w="99" w:type="dxa"/>
            <w:tcBorders/>
            <w:shd w:fill="CCEEFF" w:val="clear"/>
            <w:vAlign w:val="center"/>
          </w:tcPr>
          <w:p>
            <w:pPr>
              <w:pStyle w:val="TableContents"/>
              <w:bidi w:val="0"/>
              <w:spacing w:before="0" w:after="283"/>
              <w:jc w:val="left"/>
              <w:rPr/>
            </w:pPr>
            <w:r>
              <w:rPr/>
              <w:t> </w:t>
            </w:r>
          </w:p>
        </w:tc>
      </w:tr>
      <w:tr>
        <w:trPr/>
        <w:tc>
          <w:tcPr>
            <w:tcW w:w="3683" w:type="dxa"/>
            <w:tcBorders/>
            <w:shd w:fill="FFFFFF" w:val="clear"/>
            <w:vAlign w:val="center"/>
          </w:tcPr>
          <w:p>
            <w:pPr>
              <w:pStyle w:val="TableContents"/>
              <w:bidi w:val="0"/>
              <w:spacing w:before="0" w:after="283"/>
              <w:jc w:val="left"/>
              <w:rPr>
                <w:sz w:val="16"/>
              </w:rPr>
            </w:pPr>
            <w:r>
              <w:rPr>
                <w:sz w:val="16"/>
              </w:rPr>
              <w:t>Prepaids and other current assets</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sz w:val="16"/>
              </w:rPr>
            </w:pPr>
            <w:r>
              <w:rPr>
                <w:sz w:val="16"/>
              </w:rPr>
              <w:t>119,509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77" w:type="dxa"/>
            <w:tcBorders>
              <w:bottom w:val="single" w:sz="8" w:space="0" w:color="000000"/>
            </w:tcBorders>
            <w:shd w:fill="FFFFFF" w:val="clear"/>
            <w:tcMar>
              <w:bottom w:w="28" w:type="dxa"/>
            </w:tcMar>
            <w:vAlign w:val="center"/>
          </w:tcPr>
          <w:p>
            <w:pPr>
              <w:pStyle w:val="TableContents"/>
              <w:bidi w:val="0"/>
              <w:spacing w:before="0" w:after="283"/>
              <w:jc w:val="right"/>
              <w:rPr>
                <w:sz w:val="16"/>
              </w:rPr>
            </w:pPr>
            <w:r>
              <w:rPr>
                <w:sz w:val="16"/>
              </w:rPr>
              <w:t>21,781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62" w:type="dxa"/>
            <w:tcBorders>
              <w:bottom w:val="single" w:sz="8" w:space="0" w:color="000000"/>
            </w:tcBorders>
            <w:shd w:fill="FFFFFF" w:val="clear"/>
            <w:tcMar>
              <w:bottom w:w="28" w:type="dxa"/>
            </w:tcMar>
            <w:vAlign w:val="center"/>
          </w:tcPr>
          <w:p>
            <w:pPr>
              <w:pStyle w:val="TableContents"/>
              <w:bidi w:val="0"/>
              <w:spacing w:before="0" w:after="283"/>
              <w:jc w:val="right"/>
              <w:rPr>
                <w:sz w:val="16"/>
              </w:rPr>
            </w:pPr>
            <w:r>
              <w:rPr>
                <w:sz w:val="16"/>
              </w:rPr>
              <w:t>(12,600</w:t>
            </w:r>
          </w:p>
        </w:tc>
        <w:tc>
          <w:tcPr>
            <w:tcW w:w="80" w:type="dxa"/>
            <w:tcBorders/>
            <w:shd w:fill="FFFFFF" w:val="clear"/>
            <w:vAlign w:val="center"/>
          </w:tcPr>
          <w:p>
            <w:pPr>
              <w:pStyle w:val="TableContents"/>
              <w:bidi w:val="0"/>
              <w:spacing w:before="0" w:after="283"/>
              <w:jc w:val="lef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477" w:type="dxa"/>
            <w:tcBorders/>
            <w:shd w:fill="FFFFFF" w:val="clear"/>
            <w:vAlign w:val="center"/>
          </w:tcPr>
          <w:p>
            <w:pPr>
              <w:pStyle w:val="TableContents"/>
              <w:bidi w:val="0"/>
              <w:spacing w:before="0" w:after="283"/>
              <w:jc w:val="center"/>
              <w:rPr>
                <w:sz w:val="16"/>
              </w:rPr>
            </w:pPr>
            <w:r>
              <w:rPr>
                <w:sz w:val="16"/>
              </w:rPr>
              <w:t>(b)</w:t>
            </w:r>
          </w:p>
        </w:tc>
        <w:tc>
          <w:tcPr>
            <w:tcW w:w="60" w:type="dxa"/>
            <w:tcBorders/>
            <w:shd w:fill="FFFFFF" w:val="clear"/>
            <w:vAlign w:val="center"/>
          </w:tcPr>
          <w:p>
            <w:pPr>
              <w:pStyle w:val="TableContents"/>
              <w:bidi w:val="0"/>
              <w:spacing w:before="0" w:after="283"/>
              <w:jc w:val="left"/>
              <w:rPr/>
            </w:pPr>
            <w:r>
              <w:rPr/>
              <w:t> </w:t>
            </w:r>
          </w:p>
        </w:tc>
        <w:tc>
          <w:tcPr>
            <w:tcW w:w="13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94"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3"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shd w:fill="FFFFFF" w:val="clear"/>
            <w:tcMar>
              <w:bottom w:w="28" w:type="dxa"/>
            </w:tcMar>
            <w:vAlign w:val="center"/>
          </w:tcPr>
          <w:p>
            <w:pPr>
              <w:pStyle w:val="TableContents"/>
              <w:bidi w:val="0"/>
              <w:spacing w:before="0" w:after="283"/>
              <w:jc w:val="right"/>
              <w:rPr>
                <w:sz w:val="16"/>
              </w:rPr>
            </w:pPr>
            <w:r>
              <w:rPr>
                <w:sz w:val="16"/>
              </w:rPr>
              <w:t>128,690</w:t>
            </w:r>
          </w:p>
        </w:tc>
        <w:tc>
          <w:tcPr>
            <w:tcW w:w="99" w:type="dxa"/>
            <w:tcBorders/>
            <w:shd w:fill="FFFFFF" w:val="clear"/>
            <w:vAlign w:val="center"/>
          </w:tcPr>
          <w:p>
            <w:pPr>
              <w:pStyle w:val="TableContents"/>
              <w:bidi w:val="0"/>
              <w:spacing w:before="0" w:after="283"/>
              <w:jc w:val="left"/>
              <w:rPr/>
            </w:pPr>
            <w:r>
              <w:rPr/>
              <w:t> </w:t>
            </w:r>
          </w:p>
        </w:tc>
      </w:tr>
      <w:tr>
        <w:trPr/>
        <w:tc>
          <w:tcPr>
            <w:tcW w:w="3683" w:type="dxa"/>
            <w:tcBorders/>
            <w:shd w:fill="CCEEFF" w:val="clear"/>
            <w:vAlign w:val="center"/>
          </w:tcPr>
          <w:p>
            <w:pPr>
              <w:pStyle w:val="TableContents"/>
              <w:bidi w:val="0"/>
              <w:spacing w:before="0" w:after="283"/>
              <w:jc w:val="left"/>
              <w:rPr>
                <w:sz w:val="16"/>
              </w:rPr>
            </w:pPr>
            <w:r>
              <w:rPr>
                <w:sz w:val="16"/>
              </w:rPr>
              <w:t>Total current assets</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sz w:val="16"/>
              </w:rPr>
            </w:pPr>
            <w:r>
              <w:rPr>
                <w:sz w:val="16"/>
              </w:rPr>
              <w:t>2,895,759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77" w:type="dxa"/>
            <w:tcBorders>
              <w:bottom w:val="single" w:sz="8" w:space="0" w:color="000000"/>
            </w:tcBorders>
            <w:shd w:fill="CCEEFF" w:val="clear"/>
            <w:tcMar>
              <w:bottom w:w="28" w:type="dxa"/>
            </w:tcMar>
            <w:vAlign w:val="center"/>
          </w:tcPr>
          <w:p>
            <w:pPr>
              <w:pStyle w:val="TableContents"/>
              <w:bidi w:val="0"/>
              <w:spacing w:before="0" w:after="283"/>
              <w:jc w:val="right"/>
              <w:rPr>
                <w:sz w:val="16"/>
              </w:rPr>
            </w:pPr>
            <w:r>
              <w:rPr>
                <w:sz w:val="16"/>
              </w:rPr>
              <w:t>377,066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62" w:type="dxa"/>
            <w:tcBorders>
              <w:bottom w:val="single" w:sz="8" w:space="0" w:color="000000"/>
            </w:tcBorders>
            <w:shd w:fill="CCEEFF" w:val="clear"/>
            <w:tcMar>
              <w:bottom w:w="28" w:type="dxa"/>
            </w:tcMar>
            <w:vAlign w:val="center"/>
          </w:tcPr>
          <w:p>
            <w:pPr>
              <w:pStyle w:val="TableContents"/>
              <w:bidi w:val="0"/>
              <w:spacing w:before="0" w:after="283"/>
              <w:jc w:val="right"/>
              <w:rPr>
                <w:sz w:val="16"/>
              </w:rPr>
            </w:pPr>
            <w:r>
              <w:rPr>
                <w:sz w:val="16"/>
              </w:rPr>
              <w:t>(4,895,376</w:t>
            </w:r>
          </w:p>
        </w:tc>
        <w:tc>
          <w:tcPr>
            <w:tcW w:w="80"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477"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94" w:type="dxa"/>
            <w:tcBorders>
              <w:bottom w:val="single" w:sz="8" w:space="0" w:color="000000"/>
            </w:tcBorders>
            <w:shd w:fill="CCEEFF" w:val="clear"/>
            <w:tcMar>
              <w:bottom w:w="28" w:type="dxa"/>
            </w:tcMar>
            <w:vAlign w:val="center"/>
          </w:tcPr>
          <w:p>
            <w:pPr>
              <w:pStyle w:val="TableContents"/>
              <w:bidi w:val="0"/>
              <w:spacing w:before="0" w:after="283"/>
              <w:jc w:val="right"/>
              <w:rPr>
                <w:sz w:val="16"/>
              </w:rPr>
            </w:pPr>
            <w:r>
              <w:rPr>
                <w:sz w:val="16"/>
              </w:rPr>
              <w:t>3,574,340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3"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shd w:fill="CCEEFF" w:val="clear"/>
            <w:tcMar>
              <w:bottom w:w="28" w:type="dxa"/>
            </w:tcMar>
            <w:vAlign w:val="center"/>
          </w:tcPr>
          <w:p>
            <w:pPr>
              <w:pStyle w:val="TableContents"/>
              <w:bidi w:val="0"/>
              <w:spacing w:before="0" w:after="283"/>
              <w:jc w:val="right"/>
              <w:rPr>
                <w:sz w:val="16"/>
              </w:rPr>
            </w:pPr>
            <w:r>
              <w:rPr>
                <w:sz w:val="16"/>
              </w:rPr>
              <w:t>1,951,789</w:t>
            </w:r>
          </w:p>
        </w:tc>
        <w:tc>
          <w:tcPr>
            <w:tcW w:w="99" w:type="dxa"/>
            <w:tcBorders/>
            <w:shd w:fill="CCEEFF" w:val="clear"/>
            <w:vAlign w:val="center"/>
          </w:tcPr>
          <w:p>
            <w:pPr>
              <w:pStyle w:val="TableContents"/>
              <w:bidi w:val="0"/>
              <w:spacing w:before="0" w:after="283"/>
              <w:jc w:val="left"/>
              <w:rPr/>
            </w:pPr>
            <w:r>
              <w:rPr/>
              <w:t> </w:t>
            </w:r>
          </w:p>
        </w:tc>
      </w:tr>
      <w:tr>
        <w:trPr/>
        <w:tc>
          <w:tcPr>
            <w:tcW w:w="3683" w:type="dxa"/>
            <w:tcBorders/>
            <w:shd w:fill="FFFFFF" w:val="clear"/>
            <w:vAlign w:val="center"/>
          </w:tcPr>
          <w:p>
            <w:pPr>
              <w:pStyle w:val="TableContents"/>
              <w:bidi w:val="0"/>
              <w:spacing w:before="0" w:after="283"/>
              <w:jc w:val="left"/>
              <w:rPr>
                <w:sz w:val="16"/>
              </w:rPr>
            </w:pPr>
            <w:r>
              <w:rPr>
                <w:sz w:val="16"/>
              </w:rPr>
              <w:t>Non-current assets:</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77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7"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89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3"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 </w:t>
            </w:r>
          </w:p>
        </w:tc>
        <w:tc>
          <w:tcPr>
            <w:tcW w:w="99" w:type="dxa"/>
            <w:tcBorders/>
            <w:shd w:fill="FFFFFF" w:val="clear"/>
            <w:vAlign w:val="center"/>
          </w:tcPr>
          <w:p>
            <w:pPr>
              <w:pStyle w:val="TableContents"/>
              <w:bidi w:val="0"/>
              <w:spacing w:before="0" w:after="283"/>
              <w:jc w:val="left"/>
              <w:rPr/>
            </w:pPr>
            <w:r>
              <w:rPr/>
              <w:t> </w:t>
            </w:r>
          </w:p>
        </w:tc>
      </w:tr>
      <w:tr>
        <w:trPr/>
        <w:tc>
          <w:tcPr>
            <w:tcW w:w="3683" w:type="dxa"/>
            <w:tcBorders/>
            <w:shd w:fill="CCEEFF" w:val="clear"/>
            <w:vAlign w:val="center"/>
          </w:tcPr>
          <w:p>
            <w:pPr>
              <w:pStyle w:val="TableContents"/>
              <w:bidi w:val="0"/>
              <w:spacing w:before="0" w:after="283"/>
              <w:jc w:val="left"/>
              <w:rPr>
                <w:sz w:val="16"/>
              </w:rPr>
            </w:pPr>
            <w:r>
              <w:rPr>
                <w:sz w:val="16"/>
              </w:rPr>
              <w:t>Property, plant and equipment, net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sz w:val="16"/>
              </w:rPr>
            </w:pPr>
            <w:r>
              <w:rPr>
                <w:sz w:val="16"/>
              </w:rPr>
              <w:t>393,946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777" w:type="dxa"/>
            <w:tcBorders/>
            <w:shd w:fill="CCEEFF" w:val="clear"/>
            <w:vAlign w:val="center"/>
          </w:tcPr>
          <w:p>
            <w:pPr>
              <w:pStyle w:val="TableContents"/>
              <w:bidi w:val="0"/>
              <w:spacing w:before="0" w:after="283"/>
              <w:jc w:val="right"/>
              <w:rPr>
                <w:sz w:val="16"/>
              </w:rPr>
            </w:pPr>
            <w:r>
              <w:rPr>
                <w:sz w:val="16"/>
              </w:rPr>
              <w:t>1,927,018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862" w:type="dxa"/>
            <w:tcBorders/>
            <w:shd w:fill="CCEEFF" w:val="clear"/>
            <w:vAlign w:val="center"/>
          </w:tcPr>
          <w:p>
            <w:pPr>
              <w:pStyle w:val="TableContents"/>
              <w:bidi w:val="0"/>
              <w:spacing w:before="0" w:after="283"/>
              <w:jc w:val="right"/>
              <w:rPr>
                <w:sz w:val="16"/>
              </w:rPr>
            </w:pPr>
            <w:r>
              <w:rPr>
                <w:sz w:val="16"/>
              </w:rPr>
              <w:t>9,209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7" w:type="dxa"/>
            <w:tcBorders/>
            <w:shd w:fill="CCEEFF" w:val="clear"/>
            <w:vAlign w:val="center"/>
          </w:tcPr>
          <w:p>
            <w:pPr>
              <w:pStyle w:val="TableContents"/>
              <w:bidi w:val="0"/>
              <w:spacing w:before="0" w:after="283"/>
              <w:jc w:val="center"/>
              <w:rPr>
                <w:sz w:val="16"/>
              </w:rPr>
            </w:pPr>
            <w:r>
              <w:rPr>
                <w:sz w:val="16"/>
              </w:rPr>
              <w:t>(c)</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89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3"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sz w:val="16"/>
              </w:rPr>
            </w:pPr>
            <w:r>
              <w:rPr>
                <w:sz w:val="16"/>
              </w:rPr>
              <w:t>2,330,173</w:t>
            </w:r>
          </w:p>
        </w:tc>
        <w:tc>
          <w:tcPr>
            <w:tcW w:w="99" w:type="dxa"/>
            <w:tcBorders/>
            <w:shd w:fill="CCEEFF" w:val="clear"/>
            <w:vAlign w:val="center"/>
          </w:tcPr>
          <w:p>
            <w:pPr>
              <w:pStyle w:val="TableContents"/>
              <w:bidi w:val="0"/>
              <w:spacing w:before="0" w:after="283"/>
              <w:jc w:val="left"/>
              <w:rPr/>
            </w:pPr>
            <w:r>
              <w:rPr/>
              <w:t> </w:t>
            </w:r>
          </w:p>
        </w:tc>
      </w:tr>
      <w:tr>
        <w:trPr/>
        <w:tc>
          <w:tcPr>
            <w:tcW w:w="3683" w:type="dxa"/>
            <w:tcBorders/>
            <w:shd w:fill="FFFFFF" w:val="clear"/>
            <w:vAlign w:val="center"/>
          </w:tcPr>
          <w:p>
            <w:pPr>
              <w:pStyle w:val="TableContents"/>
              <w:bidi w:val="0"/>
              <w:spacing w:before="0" w:after="283"/>
              <w:jc w:val="left"/>
              <w:rPr>
                <w:sz w:val="16"/>
              </w:rPr>
            </w:pPr>
            <w:r>
              <w:rPr>
                <w:sz w:val="16"/>
              </w:rPr>
              <w:t>Intangible assets, net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sz w:val="16"/>
              </w:rPr>
            </w:pPr>
            <w:r>
              <w:rPr>
                <w:sz w:val="16"/>
              </w:rPr>
              <w:t>320,415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777" w:type="dxa"/>
            <w:tcBorders/>
            <w:shd w:fill="FFFFFF" w:val="clear"/>
            <w:vAlign w:val="center"/>
          </w:tcPr>
          <w:p>
            <w:pPr>
              <w:pStyle w:val="TableContents"/>
              <w:bidi w:val="0"/>
              <w:spacing w:before="0" w:after="283"/>
              <w:jc w:val="right"/>
              <w:rPr>
                <w:sz w:val="16"/>
              </w:rPr>
            </w:pPr>
            <w:r>
              <w:rPr>
                <w:sz w:val="16"/>
              </w:rPr>
              <w:t>82,666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sz w:val="16"/>
              </w:rPr>
            </w:pPr>
            <w:r>
              <w:rPr>
                <w:sz w:val="16"/>
              </w:rPr>
              <w:t>4,246,672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7" w:type="dxa"/>
            <w:tcBorders/>
            <w:shd w:fill="FFFFFF" w:val="clear"/>
            <w:vAlign w:val="center"/>
          </w:tcPr>
          <w:p>
            <w:pPr>
              <w:pStyle w:val="TableContents"/>
              <w:bidi w:val="0"/>
              <w:spacing w:before="0" w:after="283"/>
              <w:jc w:val="center"/>
              <w:rPr>
                <w:sz w:val="16"/>
              </w:rPr>
            </w:pPr>
            <w:r>
              <w:rPr>
                <w:sz w:val="16"/>
              </w:rPr>
              <w:t>(d)</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89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3"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sz w:val="16"/>
              </w:rPr>
            </w:pPr>
            <w:r>
              <w:rPr>
                <w:sz w:val="16"/>
              </w:rPr>
              <w:t>4,649,753</w:t>
            </w:r>
          </w:p>
        </w:tc>
        <w:tc>
          <w:tcPr>
            <w:tcW w:w="99" w:type="dxa"/>
            <w:tcBorders/>
            <w:shd w:fill="FFFFFF" w:val="clear"/>
            <w:vAlign w:val="center"/>
          </w:tcPr>
          <w:p>
            <w:pPr>
              <w:pStyle w:val="TableContents"/>
              <w:bidi w:val="0"/>
              <w:spacing w:before="0" w:after="283"/>
              <w:jc w:val="left"/>
              <w:rPr/>
            </w:pPr>
            <w:r>
              <w:rPr/>
              <w:t> </w:t>
            </w:r>
          </w:p>
        </w:tc>
      </w:tr>
      <w:tr>
        <w:trPr/>
        <w:tc>
          <w:tcPr>
            <w:tcW w:w="3683" w:type="dxa"/>
            <w:tcBorders/>
            <w:shd w:fill="CCEEFF" w:val="clear"/>
            <w:vAlign w:val="center"/>
          </w:tcPr>
          <w:p>
            <w:pPr>
              <w:pStyle w:val="TableContents"/>
              <w:bidi w:val="0"/>
              <w:spacing w:before="0" w:after="283"/>
              <w:jc w:val="left"/>
              <w:rPr>
                <w:sz w:val="16"/>
              </w:rPr>
            </w:pPr>
            <w:r>
              <w:rPr>
                <w:sz w:val="16"/>
              </w:rPr>
              <w:t>Goodwill</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sz w:val="16"/>
              </w:rPr>
            </w:pPr>
            <w:r>
              <w:rPr>
                <w:sz w:val="16"/>
              </w:rPr>
              <w:t>299,072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777" w:type="dxa"/>
            <w:tcBorders/>
            <w:shd w:fill="CCEEFF" w:val="clear"/>
            <w:vAlign w:val="center"/>
          </w:tcPr>
          <w:p>
            <w:pPr>
              <w:pStyle w:val="TableContents"/>
              <w:bidi w:val="0"/>
              <w:spacing w:before="0" w:after="283"/>
              <w:jc w:val="right"/>
              <w:rPr>
                <w:sz w:val="16"/>
              </w:rPr>
            </w:pPr>
            <w:r>
              <w:rPr>
                <w:sz w:val="16"/>
              </w:rPr>
              <w:t>98,942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862" w:type="dxa"/>
            <w:tcBorders/>
            <w:shd w:fill="CCEEFF" w:val="clear"/>
            <w:vAlign w:val="center"/>
          </w:tcPr>
          <w:p>
            <w:pPr>
              <w:pStyle w:val="TableContents"/>
              <w:bidi w:val="0"/>
              <w:spacing w:before="0" w:after="283"/>
              <w:jc w:val="right"/>
              <w:rPr>
                <w:sz w:val="16"/>
              </w:rPr>
            </w:pPr>
            <w:r>
              <w:rPr>
                <w:sz w:val="16"/>
              </w:rPr>
              <w:t>2,102,842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7" w:type="dxa"/>
            <w:tcBorders/>
            <w:shd w:fill="CCEEFF" w:val="clear"/>
            <w:vAlign w:val="center"/>
          </w:tcPr>
          <w:p>
            <w:pPr>
              <w:pStyle w:val="TableContents"/>
              <w:bidi w:val="0"/>
              <w:spacing w:before="0" w:after="283"/>
              <w:jc w:val="center"/>
              <w:rPr>
                <w:sz w:val="16"/>
              </w:rPr>
            </w:pPr>
            <w:r>
              <w:rPr>
                <w:sz w:val="16"/>
              </w:rPr>
              <w:t>(e)</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89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3"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sz w:val="16"/>
              </w:rPr>
            </w:pPr>
            <w:r>
              <w:rPr>
                <w:sz w:val="16"/>
              </w:rPr>
              <w:t>2,500,856</w:t>
            </w:r>
          </w:p>
        </w:tc>
        <w:tc>
          <w:tcPr>
            <w:tcW w:w="99" w:type="dxa"/>
            <w:tcBorders/>
            <w:shd w:fill="CCEEFF" w:val="clear"/>
            <w:vAlign w:val="center"/>
          </w:tcPr>
          <w:p>
            <w:pPr>
              <w:pStyle w:val="TableContents"/>
              <w:bidi w:val="0"/>
              <w:spacing w:before="0" w:after="283"/>
              <w:jc w:val="left"/>
              <w:rPr/>
            </w:pPr>
            <w:r>
              <w:rPr/>
              <w:t> </w:t>
            </w:r>
          </w:p>
        </w:tc>
      </w:tr>
      <w:tr>
        <w:trPr/>
        <w:tc>
          <w:tcPr>
            <w:tcW w:w="3683" w:type="dxa"/>
            <w:tcBorders/>
            <w:shd w:fill="FFFFFF" w:val="clear"/>
            <w:vAlign w:val="center"/>
          </w:tcPr>
          <w:p>
            <w:pPr>
              <w:pStyle w:val="TableContents"/>
              <w:bidi w:val="0"/>
              <w:spacing w:before="0" w:after="283"/>
              <w:jc w:val="left"/>
              <w:rPr>
                <w:sz w:val="16"/>
              </w:rPr>
            </w:pPr>
            <w:r>
              <w:rPr>
                <w:sz w:val="16"/>
              </w:rPr>
              <w:t>Right-of-use assets - operating leases</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sz w:val="16"/>
              </w:rPr>
            </w:pPr>
            <w:r>
              <w:rPr>
                <w:sz w:val="16"/>
              </w:rPr>
              <w:t>113,690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777" w:type="dxa"/>
            <w:tcBorders/>
            <w:shd w:fill="FFFFFF" w:val="clear"/>
            <w:vAlign w:val="center"/>
          </w:tcPr>
          <w:p>
            <w:pPr>
              <w:pStyle w:val="TableContents"/>
              <w:bidi w:val="0"/>
              <w:spacing w:before="0" w:after="283"/>
              <w:jc w:val="right"/>
              <w:rPr>
                <w:sz w:val="16"/>
              </w:rPr>
            </w:pPr>
            <w:r>
              <w:rPr>
                <w:sz w:val="16"/>
              </w:rPr>
              <w:t>25,096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7"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89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3"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sz w:val="16"/>
              </w:rPr>
            </w:pPr>
            <w:r>
              <w:rPr>
                <w:sz w:val="16"/>
              </w:rPr>
              <w:t>138,786</w:t>
            </w:r>
          </w:p>
        </w:tc>
        <w:tc>
          <w:tcPr>
            <w:tcW w:w="99" w:type="dxa"/>
            <w:tcBorders/>
            <w:shd w:fill="FFFFFF" w:val="clear"/>
            <w:vAlign w:val="center"/>
          </w:tcPr>
          <w:p>
            <w:pPr>
              <w:pStyle w:val="TableContents"/>
              <w:bidi w:val="0"/>
              <w:spacing w:before="0" w:after="283"/>
              <w:jc w:val="left"/>
              <w:rPr/>
            </w:pPr>
            <w:r>
              <w:rPr/>
              <w:t> </w:t>
            </w:r>
          </w:p>
        </w:tc>
      </w:tr>
      <w:tr>
        <w:trPr/>
        <w:tc>
          <w:tcPr>
            <w:tcW w:w="3683" w:type="dxa"/>
            <w:tcBorders/>
            <w:shd w:fill="CCEEFF" w:val="clear"/>
            <w:vAlign w:val="center"/>
          </w:tcPr>
          <w:p>
            <w:pPr>
              <w:pStyle w:val="TableContents"/>
              <w:bidi w:val="0"/>
              <w:spacing w:before="0" w:after="283"/>
              <w:jc w:val="left"/>
              <w:rPr>
                <w:sz w:val="16"/>
              </w:rPr>
            </w:pPr>
            <w:r>
              <w:rPr>
                <w:sz w:val="16"/>
              </w:rPr>
              <w:t>Right-of-use assets - finance leases</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sz w:val="16"/>
              </w:rPr>
            </w:pPr>
            <w:r>
              <w:rPr>
                <w:sz w:val="16"/>
              </w:rPr>
              <w:t>12,349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777"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862"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7"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89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3"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sz w:val="16"/>
              </w:rPr>
            </w:pPr>
            <w:r>
              <w:rPr>
                <w:sz w:val="16"/>
              </w:rPr>
              <w:t>12,349</w:t>
            </w:r>
          </w:p>
        </w:tc>
        <w:tc>
          <w:tcPr>
            <w:tcW w:w="99" w:type="dxa"/>
            <w:tcBorders/>
            <w:shd w:fill="CCEEFF" w:val="clear"/>
            <w:vAlign w:val="center"/>
          </w:tcPr>
          <w:p>
            <w:pPr>
              <w:pStyle w:val="TableContents"/>
              <w:bidi w:val="0"/>
              <w:spacing w:before="0" w:after="283"/>
              <w:jc w:val="left"/>
              <w:rPr/>
            </w:pPr>
            <w:r>
              <w:rPr/>
              <w:t> </w:t>
            </w:r>
          </w:p>
        </w:tc>
      </w:tr>
      <w:tr>
        <w:trPr/>
        <w:tc>
          <w:tcPr>
            <w:tcW w:w="3683" w:type="dxa"/>
            <w:tcBorders/>
            <w:shd w:fill="FFFFFF" w:val="clear"/>
            <w:vAlign w:val="center"/>
          </w:tcPr>
          <w:p>
            <w:pPr>
              <w:pStyle w:val="TableContents"/>
              <w:bidi w:val="0"/>
              <w:spacing w:before="0" w:after="283"/>
              <w:jc w:val="left"/>
              <w:rPr>
                <w:sz w:val="16"/>
              </w:rPr>
            </w:pPr>
            <w:r>
              <w:rPr>
                <w:sz w:val="16"/>
              </w:rPr>
              <w:t>Marketable securities, non-current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sz w:val="16"/>
              </w:rPr>
            </w:pPr>
            <w:r>
              <w:rPr>
                <w:sz w:val="16"/>
              </w:rPr>
              <w:t>85,405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777"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7"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89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3"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sz w:val="16"/>
              </w:rPr>
            </w:pPr>
            <w:r>
              <w:rPr>
                <w:sz w:val="16"/>
              </w:rPr>
              <w:t>85,405</w:t>
            </w:r>
          </w:p>
        </w:tc>
        <w:tc>
          <w:tcPr>
            <w:tcW w:w="99" w:type="dxa"/>
            <w:tcBorders/>
            <w:shd w:fill="FFFFFF" w:val="clear"/>
            <w:vAlign w:val="center"/>
          </w:tcPr>
          <w:p>
            <w:pPr>
              <w:pStyle w:val="TableContents"/>
              <w:bidi w:val="0"/>
              <w:spacing w:before="0" w:after="283"/>
              <w:jc w:val="left"/>
              <w:rPr/>
            </w:pPr>
            <w:r>
              <w:rPr/>
              <w:t> </w:t>
            </w:r>
          </w:p>
        </w:tc>
      </w:tr>
      <w:tr>
        <w:trPr/>
        <w:tc>
          <w:tcPr>
            <w:tcW w:w="3683" w:type="dxa"/>
            <w:tcBorders/>
            <w:shd w:fill="CCEEFF" w:val="clear"/>
            <w:vAlign w:val="center"/>
          </w:tcPr>
          <w:p>
            <w:pPr>
              <w:pStyle w:val="TableContents"/>
              <w:bidi w:val="0"/>
              <w:spacing w:before="0" w:after="283"/>
              <w:jc w:val="left"/>
              <w:rPr>
                <w:sz w:val="16"/>
              </w:rPr>
            </w:pPr>
            <w:r>
              <w:rPr>
                <w:sz w:val="16"/>
              </w:rPr>
              <w:t>Restricted cash</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sz w:val="16"/>
              </w:rPr>
            </w:pPr>
            <w:r>
              <w:rPr>
                <w:sz w:val="16"/>
              </w:rPr>
              <w:t>8,413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777" w:type="dxa"/>
            <w:tcBorders/>
            <w:shd w:fill="CCEEFF" w:val="clear"/>
            <w:vAlign w:val="center"/>
          </w:tcPr>
          <w:p>
            <w:pPr>
              <w:pStyle w:val="TableContents"/>
              <w:bidi w:val="0"/>
              <w:spacing w:before="0" w:after="283"/>
              <w:jc w:val="right"/>
              <w:rPr>
                <w:sz w:val="16"/>
              </w:rPr>
            </w:pPr>
            <w:r>
              <w:rPr>
                <w:sz w:val="16"/>
              </w:rPr>
              <w:t>199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862"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7"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89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3"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sz w:val="16"/>
              </w:rPr>
            </w:pPr>
            <w:r>
              <w:rPr>
                <w:sz w:val="16"/>
              </w:rPr>
              <w:t>8,612</w:t>
            </w:r>
          </w:p>
        </w:tc>
        <w:tc>
          <w:tcPr>
            <w:tcW w:w="99" w:type="dxa"/>
            <w:tcBorders/>
            <w:shd w:fill="CCEEFF" w:val="clear"/>
            <w:vAlign w:val="center"/>
          </w:tcPr>
          <w:p>
            <w:pPr>
              <w:pStyle w:val="TableContents"/>
              <w:bidi w:val="0"/>
              <w:spacing w:before="0" w:after="283"/>
              <w:jc w:val="left"/>
              <w:rPr/>
            </w:pPr>
            <w:r>
              <w:rPr/>
              <w:t> </w:t>
            </w:r>
          </w:p>
        </w:tc>
      </w:tr>
      <w:tr>
        <w:trPr/>
        <w:tc>
          <w:tcPr>
            <w:tcW w:w="3683" w:type="dxa"/>
            <w:tcBorders/>
            <w:shd w:fill="FFFFFF" w:val="clear"/>
            <w:vAlign w:val="center"/>
          </w:tcPr>
          <w:p>
            <w:pPr>
              <w:pStyle w:val="TableContents"/>
              <w:bidi w:val="0"/>
              <w:spacing w:before="0" w:after="283"/>
              <w:jc w:val="left"/>
              <w:rPr>
                <w:sz w:val="16"/>
              </w:rPr>
            </w:pPr>
            <w:r>
              <w:rPr>
                <w:sz w:val="16"/>
              </w:rPr>
              <w:t>Deferred income tax assets, net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sz w:val="16"/>
              </w:rPr>
            </w:pPr>
            <w:r>
              <w:rPr>
                <w:sz w:val="16"/>
              </w:rPr>
              <w:t>1,057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777" w:type="dxa"/>
            <w:tcBorders/>
            <w:shd w:fill="FFFFFF" w:val="clear"/>
            <w:vAlign w:val="center"/>
          </w:tcPr>
          <w:p>
            <w:pPr>
              <w:pStyle w:val="TableContents"/>
              <w:bidi w:val="0"/>
              <w:spacing w:before="0" w:after="283"/>
              <w:jc w:val="right"/>
              <w:rPr>
                <w:sz w:val="16"/>
              </w:rPr>
            </w:pPr>
            <w:r>
              <w:rPr>
                <w:sz w:val="16"/>
              </w:rPr>
              <w:t>2,198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7"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89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3"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sz w:val="16"/>
              </w:rPr>
            </w:pPr>
            <w:r>
              <w:rPr>
                <w:sz w:val="16"/>
              </w:rPr>
              <w:t>3,255</w:t>
            </w:r>
          </w:p>
        </w:tc>
        <w:tc>
          <w:tcPr>
            <w:tcW w:w="99" w:type="dxa"/>
            <w:tcBorders/>
            <w:shd w:fill="FFFFFF" w:val="clear"/>
            <w:vAlign w:val="center"/>
          </w:tcPr>
          <w:p>
            <w:pPr>
              <w:pStyle w:val="TableContents"/>
              <w:bidi w:val="0"/>
              <w:spacing w:before="0" w:after="283"/>
              <w:jc w:val="left"/>
              <w:rPr/>
            </w:pPr>
            <w:r>
              <w:rPr/>
              <w:t> </w:t>
            </w:r>
          </w:p>
        </w:tc>
      </w:tr>
      <w:tr>
        <w:trPr/>
        <w:tc>
          <w:tcPr>
            <w:tcW w:w="3683" w:type="dxa"/>
            <w:tcBorders/>
            <w:shd w:fill="CCEEFF" w:val="clear"/>
            <w:vAlign w:val="center"/>
          </w:tcPr>
          <w:p>
            <w:pPr>
              <w:pStyle w:val="TableContents"/>
              <w:bidi w:val="0"/>
              <w:spacing w:before="0" w:after="283"/>
              <w:jc w:val="left"/>
              <w:rPr>
                <w:sz w:val="16"/>
              </w:rPr>
            </w:pPr>
            <w:r>
              <w:rPr>
                <w:sz w:val="16"/>
              </w:rPr>
              <w:t>Other non-current assets</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sz w:val="16"/>
              </w:rPr>
            </w:pPr>
            <w:r>
              <w:rPr>
                <w:sz w:val="16"/>
              </w:rPr>
              <w:t>57,268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77" w:type="dxa"/>
            <w:tcBorders>
              <w:bottom w:val="single" w:sz="8" w:space="0" w:color="000000"/>
            </w:tcBorders>
            <w:shd w:fill="CCEEFF" w:val="clear"/>
            <w:tcMar>
              <w:bottom w:w="28" w:type="dxa"/>
            </w:tcMar>
            <w:vAlign w:val="center"/>
          </w:tcPr>
          <w:p>
            <w:pPr>
              <w:pStyle w:val="TableContents"/>
              <w:bidi w:val="0"/>
              <w:spacing w:before="0" w:after="283"/>
              <w:jc w:val="right"/>
              <w:rPr>
                <w:sz w:val="16"/>
              </w:rPr>
            </w:pPr>
            <w:r>
              <w:rPr>
                <w:sz w:val="16"/>
              </w:rPr>
              <w:t>51,908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62" w:type="dxa"/>
            <w:tcBorders>
              <w:bottom w:val="single" w:sz="8" w:space="0" w:color="000000"/>
            </w:tcBorders>
            <w:shd w:fill="CCEEFF" w:val="clear"/>
            <w:tcMar>
              <w:bottom w:w="28" w:type="dxa"/>
            </w:tcMar>
            <w:vAlign w:val="center"/>
          </w:tcPr>
          <w:p>
            <w:pPr>
              <w:pStyle w:val="TableContents"/>
              <w:bidi w:val="0"/>
              <w:spacing w:before="0" w:after="283"/>
              <w:jc w:val="right"/>
              <w:rPr>
                <w:sz w:val="16"/>
              </w:rPr>
            </w:pPr>
            <w:r>
              <w:rPr>
                <w:sz w:val="16"/>
              </w:rPr>
              <w:t>(7,100</w:t>
            </w:r>
          </w:p>
        </w:tc>
        <w:tc>
          <w:tcPr>
            <w:tcW w:w="80"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477" w:type="dxa"/>
            <w:tcBorders/>
            <w:shd w:fill="CCEEFF" w:val="clear"/>
            <w:vAlign w:val="center"/>
          </w:tcPr>
          <w:p>
            <w:pPr>
              <w:pStyle w:val="TableContents"/>
              <w:bidi w:val="0"/>
              <w:spacing w:before="0" w:after="283"/>
              <w:jc w:val="center"/>
              <w:rPr>
                <w:sz w:val="16"/>
              </w:rPr>
            </w:pPr>
            <w:r>
              <w:rPr>
                <w:sz w:val="16"/>
              </w:rPr>
              <w:t>(f)</w:t>
            </w:r>
          </w:p>
        </w:tc>
        <w:tc>
          <w:tcPr>
            <w:tcW w:w="60" w:type="dxa"/>
            <w:tcBorders/>
            <w:shd w:fill="CCEEFF" w:val="clear"/>
            <w:vAlign w:val="center"/>
          </w:tcPr>
          <w:p>
            <w:pPr>
              <w:pStyle w:val="TableContents"/>
              <w:bidi w:val="0"/>
              <w:spacing w:before="0" w:after="283"/>
              <w:jc w:val="left"/>
              <w:rPr/>
            </w:pPr>
            <w:r>
              <w:rPr/>
              <w:t> </w:t>
            </w:r>
          </w:p>
        </w:tc>
        <w:tc>
          <w:tcPr>
            <w:tcW w:w="13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94"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3"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shd w:fill="CCEEFF" w:val="clear"/>
            <w:tcMar>
              <w:bottom w:w="28" w:type="dxa"/>
            </w:tcMar>
            <w:vAlign w:val="center"/>
          </w:tcPr>
          <w:p>
            <w:pPr>
              <w:pStyle w:val="TableContents"/>
              <w:bidi w:val="0"/>
              <w:spacing w:before="0" w:after="283"/>
              <w:jc w:val="right"/>
              <w:rPr>
                <w:sz w:val="16"/>
              </w:rPr>
            </w:pPr>
            <w:r>
              <w:rPr>
                <w:sz w:val="16"/>
              </w:rPr>
              <w:t>102,076</w:t>
            </w:r>
          </w:p>
        </w:tc>
        <w:tc>
          <w:tcPr>
            <w:tcW w:w="99" w:type="dxa"/>
            <w:tcBorders/>
            <w:shd w:fill="CCEEFF" w:val="clear"/>
            <w:vAlign w:val="center"/>
          </w:tcPr>
          <w:p>
            <w:pPr>
              <w:pStyle w:val="TableContents"/>
              <w:bidi w:val="0"/>
              <w:spacing w:before="0" w:after="283"/>
              <w:jc w:val="left"/>
              <w:rPr/>
            </w:pPr>
            <w:r>
              <w:rPr/>
              <w:t> </w:t>
            </w:r>
          </w:p>
        </w:tc>
      </w:tr>
      <w:tr>
        <w:trPr/>
        <w:tc>
          <w:tcPr>
            <w:tcW w:w="3683" w:type="dxa"/>
            <w:tcBorders/>
            <w:shd w:fill="FFFFFF" w:val="clear"/>
            <w:vAlign w:val="center"/>
          </w:tcPr>
          <w:p>
            <w:pPr>
              <w:pStyle w:val="TableContents"/>
              <w:bidi w:val="0"/>
              <w:spacing w:before="0" w:after="283"/>
              <w:jc w:val="left"/>
              <w:rPr>
                <w:b/>
                <w:sz w:val="16"/>
              </w:rPr>
            </w:pPr>
            <w:r>
              <w:rPr>
                <w:b/>
                <w:sz w:val="16"/>
              </w:rPr>
              <w:t>Total assets</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sz w:val="16"/>
              </w:rPr>
            </w:pPr>
            <w:r>
              <w:rPr>
                <w:sz w:val="16"/>
              </w:rPr>
              <w:t>$</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sz w:val="16"/>
              </w:rPr>
            </w:pPr>
            <w:r>
              <w:rPr>
                <w:sz w:val="16"/>
              </w:rPr>
              <w:t>4,187,374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 w:type="dxa"/>
            <w:tcBorders>
              <w:bottom w:val="single" w:sz="8" w:space="0" w:color="000000"/>
            </w:tcBorders>
            <w:shd w:fill="FFFFFF" w:val="clear"/>
            <w:tcMar>
              <w:bottom w:w="28" w:type="dxa"/>
            </w:tcMar>
            <w:vAlign w:val="center"/>
          </w:tcPr>
          <w:p>
            <w:pPr>
              <w:pStyle w:val="TableContents"/>
              <w:bidi w:val="0"/>
              <w:spacing w:before="0" w:after="283"/>
              <w:jc w:val="left"/>
              <w:rPr>
                <w:sz w:val="16"/>
              </w:rPr>
            </w:pPr>
            <w:r>
              <w:rPr>
                <w:sz w:val="16"/>
              </w:rPr>
              <w:t>$</w:t>
            </w:r>
          </w:p>
        </w:tc>
        <w:tc>
          <w:tcPr>
            <w:tcW w:w="777" w:type="dxa"/>
            <w:tcBorders>
              <w:bottom w:val="single" w:sz="8" w:space="0" w:color="000000"/>
            </w:tcBorders>
            <w:shd w:fill="FFFFFF" w:val="clear"/>
            <w:tcMar>
              <w:bottom w:w="28" w:type="dxa"/>
            </w:tcMar>
            <w:vAlign w:val="center"/>
          </w:tcPr>
          <w:p>
            <w:pPr>
              <w:pStyle w:val="TableContents"/>
              <w:bidi w:val="0"/>
              <w:spacing w:before="0" w:after="283"/>
              <w:jc w:val="right"/>
              <w:rPr>
                <w:sz w:val="16"/>
              </w:rPr>
            </w:pPr>
            <w:r>
              <w:rPr>
                <w:sz w:val="16"/>
              </w:rPr>
              <w:t>2,565,093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 w:type="dxa"/>
            <w:tcBorders>
              <w:bottom w:val="single" w:sz="8" w:space="0" w:color="000000"/>
            </w:tcBorders>
            <w:shd w:fill="FFFFFF" w:val="clear"/>
            <w:tcMar>
              <w:bottom w:w="28" w:type="dxa"/>
            </w:tcMar>
            <w:vAlign w:val="center"/>
          </w:tcPr>
          <w:p>
            <w:pPr>
              <w:pStyle w:val="TableContents"/>
              <w:bidi w:val="0"/>
              <w:spacing w:before="0" w:after="283"/>
              <w:jc w:val="left"/>
              <w:rPr>
                <w:sz w:val="16"/>
              </w:rPr>
            </w:pPr>
            <w:r>
              <w:rPr>
                <w:sz w:val="16"/>
              </w:rPr>
              <w:t>$</w:t>
            </w:r>
          </w:p>
        </w:tc>
        <w:tc>
          <w:tcPr>
            <w:tcW w:w="862" w:type="dxa"/>
            <w:tcBorders>
              <w:bottom w:val="single" w:sz="8" w:space="0" w:color="000000"/>
            </w:tcBorders>
            <w:shd w:fill="FFFFFF" w:val="clear"/>
            <w:tcMar>
              <w:bottom w:w="28" w:type="dxa"/>
            </w:tcMar>
            <w:vAlign w:val="center"/>
          </w:tcPr>
          <w:p>
            <w:pPr>
              <w:pStyle w:val="TableContents"/>
              <w:bidi w:val="0"/>
              <w:spacing w:before="0" w:after="283"/>
              <w:jc w:val="right"/>
              <w:rPr>
                <w:sz w:val="16"/>
              </w:rPr>
            </w:pPr>
            <w:r>
              <w:rPr>
                <w:sz w:val="16"/>
              </w:rPr>
              <w:t>1,456,247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7"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bottom w:val="single" w:sz="8" w:space="0" w:color="000000"/>
            </w:tcBorders>
            <w:shd w:fill="FFFFFF" w:val="clear"/>
            <w:tcMar>
              <w:bottom w:w="28" w:type="dxa"/>
            </w:tcMar>
            <w:vAlign w:val="center"/>
          </w:tcPr>
          <w:p>
            <w:pPr>
              <w:pStyle w:val="TableContents"/>
              <w:bidi w:val="0"/>
              <w:spacing w:before="0" w:after="283"/>
              <w:jc w:val="left"/>
              <w:rPr>
                <w:sz w:val="16"/>
              </w:rPr>
            </w:pPr>
            <w:r>
              <w:rPr>
                <w:sz w:val="16"/>
              </w:rPr>
              <w:t>$</w:t>
            </w:r>
          </w:p>
        </w:tc>
        <w:tc>
          <w:tcPr>
            <w:tcW w:w="894" w:type="dxa"/>
            <w:tcBorders>
              <w:bottom w:val="single" w:sz="8" w:space="0" w:color="000000"/>
            </w:tcBorders>
            <w:shd w:fill="FFFFFF" w:val="clear"/>
            <w:tcMar>
              <w:bottom w:w="28" w:type="dxa"/>
            </w:tcMar>
            <w:vAlign w:val="center"/>
          </w:tcPr>
          <w:p>
            <w:pPr>
              <w:pStyle w:val="TableContents"/>
              <w:bidi w:val="0"/>
              <w:spacing w:before="0" w:after="283"/>
              <w:jc w:val="right"/>
              <w:rPr>
                <w:sz w:val="16"/>
              </w:rPr>
            </w:pPr>
            <w:r>
              <w:rPr>
                <w:sz w:val="16"/>
              </w:rPr>
              <w:t>3,574,340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3"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sz w:val="16"/>
              </w:rPr>
            </w:pPr>
            <w:r>
              <w:rPr>
                <w:sz w:val="16"/>
              </w:rPr>
              <w:t>$</w:t>
            </w:r>
          </w:p>
        </w:tc>
        <w:tc>
          <w:tcPr>
            <w:tcW w:w="830" w:type="dxa"/>
            <w:tcBorders>
              <w:bottom w:val="single" w:sz="8" w:space="0" w:color="000000"/>
            </w:tcBorders>
            <w:shd w:fill="FFFFFF" w:val="clear"/>
            <w:tcMar>
              <w:bottom w:w="28" w:type="dxa"/>
            </w:tcMar>
            <w:vAlign w:val="center"/>
          </w:tcPr>
          <w:p>
            <w:pPr>
              <w:pStyle w:val="TableContents"/>
              <w:bidi w:val="0"/>
              <w:spacing w:before="0" w:after="283"/>
              <w:jc w:val="right"/>
              <w:rPr>
                <w:sz w:val="16"/>
              </w:rPr>
            </w:pPr>
            <w:r>
              <w:rPr>
                <w:sz w:val="16"/>
              </w:rPr>
              <w:t>11,783,054</w:t>
            </w:r>
          </w:p>
        </w:tc>
        <w:tc>
          <w:tcPr>
            <w:tcW w:w="99" w:type="dxa"/>
            <w:tcBorders/>
            <w:shd w:fill="FFFFFF" w:val="clear"/>
            <w:vAlign w:val="center"/>
          </w:tcPr>
          <w:p>
            <w:pPr>
              <w:pStyle w:val="TableContents"/>
              <w:bidi w:val="0"/>
              <w:spacing w:before="0" w:after="283"/>
              <w:jc w:val="left"/>
              <w:rPr/>
            </w:pPr>
            <w:r>
              <w:rPr/>
              <w:t> </w:t>
            </w:r>
          </w:p>
        </w:tc>
      </w:tr>
      <w:tr>
        <w:trPr/>
        <w:tc>
          <w:tcPr>
            <w:tcW w:w="368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77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862"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7"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89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3"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99" w:type="dxa"/>
            <w:tcBorders/>
            <w:shd w:fill="CCEEFF" w:val="clear"/>
            <w:vAlign w:val="center"/>
          </w:tcPr>
          <w:p>
            <w:pPr>
              <w:pStyle w:val="TableContents"/>
              <w:bidi w:val="0"/>
              <w:spacing w:before="0" w:after="283"/>
              <w:jc w:val="left"/>
              <w:rPr/>
            </w:pPr>
            <w:r>
              <w:rPr/>
              <w:t> </w:t>
            </w:r>
          </w:p>
        </w:tc>
      </w:tr>
      <w:tr>
        <w:trPr/>
        <w:tc>
          <w:tcPr>
            <w:tcW w:w="368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77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7"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89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3"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 </w:t>
            </w:r>
          </w:p>
        </w:tc>
        <w:tc>
          <w:tcPr>
            <w:tcW w:w="99" w:type="dxa"/>
            <w:tcBorders/>
            <w:shd w:fill="FFFFFF" w:val="clear"/>
            <w:vAlign w:val="center"/>
          </w:tcPr>
          <w:p>
            <w:pPr>
              <w:pStyle w:val="TableContents"/>
              <w:bidi w:val="0"/>
              <w:spacing w:before="0" w:after="283"/>
              <w:jc w:val="left"/>
              <w:rPr/>
            </w:pPr>
            <w:r>
              <w:rPr/>
              <w:t> </w:t>
            </w:r>
          </w:p>
        </w:tc>
      </w:tr>
      <w:tr>
        <w:trPr/>
        <w:tc>
          <w:tcPr>
            <w:tcW w:w="3683" w:type="dxa"/>
            <w:tcBorders/>
            <w:shd w:fill="CCEEFF" w:val="clear"/>
            <w:vAlign w:val="center"/>
          </w:tcPr>
          <w:p>
            <w:pPr>
              <w:pStyle w:val="TableContents"/>
              <w:bidi w:val="0"/>
              <w:spacing w:before="0" w:after="283"/>
              <w:jc w:val="left"/>
              <w:rPr>
                <w:b/>
                <w:sz w:val="16"/>
              </w:rPr>
            </w:pPr>
            <w:r>
              <w:rPr>
                <w:b/>
                <w:sz w:val="16"/>
              </w:rPr>
              <w:t>Liabilities and Stockholders’ Equity</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77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862"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7"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89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3"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99" w:type="dxa"/>
            <w:tcBorders/>
            <w:shd w:fill="CCEEFF" w:val="clear"/>
            <w:vAlign w:val="center"/>
          </w:tcPr>
          <w:p>
            <w:pPr>
              <w:pStyle w:val="TableContents"/>
              <w:bidi w:val="0"/>
              <w:spacing w:before="0" w:after="283"/>
              <w:jc w:val="left"/>
              <w:rPr/>
            </w:pPr>
            <w:r>
              <w:rPr/>
              <w:t> </w:t>
            </w:r>
          </w:p>
        </w:tc>
      </w:tr>
      <w:tr>
        <w:trPr/>
        <w:tc>
          <w:tcPr>
            <w:tcW w:w="3683" w:type="dxa"/>
            <w:tcBorders/>
            <w:shd w:fill="FFFFFF" w:val="clear"/>
            <w:vAlign w:val="center"/>
          </w:tcPr>
          <w:p>
            <w:pPr>
              <w:pStyle w:val="TableContents"/>
              <w:bidi w:val="0"/>
              <w:spacing w:before="0" w:after="283"/>
              <w:jc w:val="left"/>
              <w:rPr>
                <w:sz w:val="16"/>
              </w:rPr>
            </w:pPr>
            <w:r>
              <w:rPr>
                <w:sz w:val="16"/>
              </w:rPr>
              <w:t>Current liabilities:</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77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7"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89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3"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 </w:t>
            </w:r>
          </w:p>
        </w:tc>
        <w:tc>
          <w:tcPr>
            <w:tcW w:w="99" w:type="dxa"/>
            <w:tcBorders/>
            <w:shd w:fill="FFFFFF" w:val="clear"/>
            <w:vAlign w:val="center"/>
          </w:tcPr>
          <w:p>
            <w:pPr>
              <w:pStyle w:val="TableContents"/>
              <w:bidi w:val="0"/>
              <w:spacing w:before="0" w:after="283"/>
              <w:jc w:val="left"/>
              <w:rPr/>
            </w:pPr>
            <w:r>
              <w:rPr/>
              <w:t> </w:t>
            </w:r>
          </w:p>
        </w:tc>
      </w:tr>
      <w:tr>
        <w:trPr/>
        <w:tc>
          <w:tcPr>
            <w:tcW w:w="3683" w:type="dxa"/>
            <w:tcBorders/>
            <w:shd w:fill="CCEEFF" w:val="clear"/>
            <w:vAlign w:val="center"/>
          </w:tcPr>
          <w:p>
            <w:pPr>
              <w:pStyle w:val="TableContents"/>
              <w:bidi w:val="0"/>
              <w:spacing w:before="0" w:after="283"/>
              <w:jc w:val="left"/>
              <w:rPr>
                <w:sz w:val="16"/>
              </w:rPr>
            </w:pPr>
            <w:r>
              <w:rPr>
                <w:sz w:val="16"/>
              </w:rPr>
              <w:t>Trade payables</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sz w:val="16"/>
              </w:rPr>
            </w:pPr>
            <w:r>
              <w:rPr>
                <w:sz w:val="16"/>
              </w:rPr>
              <w:t>$</w:t>
            </w:r>
          </w:p>
        </w:tc>
        <w:tc>
          <w:tcPr>
            <w:tcW w:w="800" w:type="dxa"/>
            <w:tcBorders/>
            <w:shd w:fill="CCEEFF" w:val="clear"/>
            <w:vAlign w:val="center"/>
          </w:tcPr>
          <w:p>
            <w:pPr>
              <w:pStyle w:val="TableContents"/>
              <w:bidi w:val="0"/>
              <w:spacing w:before="0" w:after="283"/>
              <w:jc w:val="right"/>
              <w:rPr>
                <w:sz w:val="16"/>
              </w:rPr>
            </w:pPr>
            <w:r>
              <w:rPr>
                <w:sz w:val="16"/>
              </w:rPr>
              <w:t>74,512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sz w:val="16"/>
              </w:rPr>
            </w:pPr>
            <w:r>
              <w:rPr>
                <w:sz w:val="16"/>
              </w:rPr>
              <w:t>$</w:t>
            </w:r>
          </w:p>
        </w:tc>
        <w:tc>
          <w:tcPr>
            <w:tcW w:w="777" w:type="dxa"/>
            <w:tcBorders/>
            <w:shd w:fill="CCEEFF" w:val="clear"/>
            <w:vAlign w:val="center"/>
          </w:tcPr>
          <w:p>
            <w:pPr>
              <w:pStyle w:val="TableContents"/>
              <w:bidi w:val="0"/>
              <w:spacing w:before="0" w:after="283"/>
              <w:jc w:val="right"/>
              <w:rPr>
                <w:sz w:val="16"/>
              </w:rPr>
            </w:pPr>
            <w:r>
              <w:rPr>
                <w:sz w:val="16"/>
              </w:rPr>
              <w:t>28,460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sz w:val="16"/>
              </w:rPr>
            </w:pPr>
            <w:r>
              <w:rPr>
                <w:sz w:val="16"/>
              </w:rPr>
              <w:t>$</w:t>
            </w:r>
          </w:p>
        </w:tc>
        <w:tc>
          <w:tcPr>
            <w:tcW w:w="862" w:type="dxa"/>
            <w:tcBorders/>
            <w:shd w:fill="CCEEFF" w:val="clear"/>
            <w:vAlign w:val="center"/>
          </w:tcPr>
          <w:p>
            <w:pPr>
              <w:pStyle w:val="TableContents"/>
              <w:bidi w:val="0"/>
              <w:spacing w:before="0" w:after="283"/>
              <w:jc w:val="right"/>
              <w:rPr>
                <w:sz w:val="16"/>
              </w:rPr>
            </w:pPr>
            <w:r>
              <w:rPr>
                <w:sz w:val="16"/>
              </w:rPr>
              <w:t>(11,292</w:t>
            </w:r>
          </w:p>
        </w:tc>
        <w:tc>
          <w:tcPr>
            <w:tcW w:w="80"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477" w:type="dxa"/>
            <w:tcBorders/>
            <w:shd w:fill="CCEEFF" w:val="clear"/>
            <w:vAlign w:val="center"/>
          </w:tcPr>
          <w:p>
            <w:pPr>
              <w:pStyle w:val="TableContents"/>
              <w:bidi w:val="0"/>
              <w:spacing w:before="0" w:after="283"/>
              <w:jc w:val="center"/>
              <w:rPr>
                <w:sz w:val="16"/>
              </w:rPr>
            </w:pPr>
            <w:r>
              <w:rPr>
                <w:sz w:val="16"/>
              </w:rPr>
              <w:t>(b)</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sz w:val="16"/>
              </w:rPr>
            </w:pPr>
            <w:r>
              <w:rPr>
                <w:sz w:val="16"/>
              </w:rPr>
              <w:t>$</w:t>
            </w:r>
          </w:p>
        </w:tc>
        <w:tc>
          <w:tcPr>
            <w:tcW w:w="89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3"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sz w:val="16"/>
              </w:rPr>
            </w:pPr>
            <w:r>
              <w:rPr>
                <w:sz w:val="16"/>
              </w:rPr>
              <w:t>$</w:t>
            </w:r>
          </w:p>
        </w:tc>
        <w:tc>
          <w:tcPr>
            <w:tcW w:w="830" w:type="dxa"/>
            <w:tcBorders/>
            <w:shd w:fill="CCEEFF" w:val="clear"/>
            <w:vAlign w:val="center"/>
          </w:tcPr>
          <w:p>
            <w:pPr>
              <w:pStyle w:val="TableContents"/>
              <w:bidi w:val="0"/>
              <w:spacing w:before="0" w:after="283"/>
              <w:jc w:val="right"/>
              <w:rPr>
                <w:sz w:val="16"/>
              </w:rPr>
            </w:pPr>
            <w:r>
              <w:rPr>
                <w:sz w:val="16"/>
              </w:rPr>
              <w:t>91,680</w:t>
            </w:r>
          </w:p>
        </w:tc>
        <w:tc>
          <w:tcPr>
            <w:tcW w:w="99" w:type="dxa"/>
            <w:tcBorders/>
            <w:shd w:fill="CCEEFF" w:val="clear"/>
            <w:vAlign w:val="center"/>
          </w:tcPr>
          <w:p>
            <w:pPr>
              <w:pStyle w:val="TableContents"/>
              <w:bidi w:val="0"/>
              <w:spacing w:before="0" w:after="283"/>
              <w:jc w:val="left"/>
              <w:rPr/>
            </w:pPr>
            <w:r>
              <w:rPr/>
              <w:t> </w:t>
            </w:r>
          </w:p>
        </w:tc>
      </w:tr>
      <w:tr>
        <w:trPr/>
        <w:tc>
          <w:tcPr>
            <w:tcW w:w="3683" w:type="dxa"/>
            <w:tcBorders/>
            <w:shd w:fill="FFFFFF" w:val="clear"/>
            <w:vAlign w:val="center"/>
          </w:tcPr>
          <w:p>
            <w:pPr>
              <w:pStyle w:val="TableContents"/>
              <w:bidi w:val="0"/>
              <w:spacing w:before="0" w:after="283"/>
              <w:jc w:val="left"/>
              <w:rPr>
                <w:sz w:val="16"/>
              </w:rPr>
            </w:pPr>
            <w:r>
              <w:rPr>
                <w:sz w:val="16"/>
              </w:rPr>
              <w:t>Accrued expenses</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sz w:val="16"/>
              </w:rPr>
            </w:pPr>
            <w:r>
              <w:rPr>
                <w:sz w:val="16"/>
              </w:rPr>
              <w:t>44,206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777" w:type="dxa"/>
            <w:tcBorders/>
            <w:shd w:fill="FFFFFF" w:val="clear"/>
            <w:vAlign w:val="center"/>
          </w:tcPr>
          <w:p>
            <w:pPr>
              <w:pStyle w:val="TableContents"/>
              <w:bidi w:val="0"/>
              <w:spacing w:before="0" w:after="283"/>
              <w:jc w:val="right"/>
              <w:rPr>
                <w:sz w:val="16"/>
              </w:rPr>
            </w:pPr>
            <w:r>
              <w:rPr>
                <w:sz w:val="16"/>
              </w:rPr>
              <w:t>291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sz w:val="16"/>
              </w:rPr>
            </w:pPr>
            <w:r>
              <w:rPr>
                <w:sz w:val="16"/>
              </w:rPr>
              <w:t>(18,661</w:t>
            </w:r>
          </w:p>
        </w:tc>
        <w:tc>
          <w:tcPr>
            <w:tcW w:w="80" w:type="dxa"/>
            <w:tcBorders/>
            <w:shd w:fill="FFFFFF" w:val="clear"/>
            <w:vAlign w:val="center"/>
          </w:tcPr>
          <w:p>
            <w:pPr>
              <w:pStyle w:val="TableContents"/>
              <w:bidi w:val="0"/>
              <w:spacing w:before="0" w:after="283"/>
              <w:jc w:val="lef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477" w:type="dxa"/>
            <w:tcBorders/>
            <w:shd w:fill="FFFFFF" w:val="clear"/>
            <w:vAlign w:val="center"/>
          </w:tcPr>
          <w:p>
            <w:pPr>
              <w:pStyle w:val="TableContents"/>
              <w:bidi w:val="0"/>
              <w:spacing w:before="0" w:after="283"/>
              <w:jc w:val="center"/>
              <w:rPr>
                <w:sz w:val="16"/>
              </w:rPr>
            </w:pPr>
            <w:r>
              <w:rPr>
                <w:sz w:val="16"/>
              </w:rPr>
              <w:t>(b)</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89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3"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sz w:val="16"/>
              </w:rPr>
            </w:pPr>
            <w:r>
              <w:rPr>
                <w:sz w:val="16"/>
              </w:rPr>
              <w:t>25,836</w:t>
            </w:r>
          </w:p>
        </w:tc>
        <w:tc>
          <w:tcPr>
            <w:tcW w:w="99" w:type="dxa"/>
            <w:tcBorders/>
            <w:shd w:fill="FFFFFF" w:val="clear"/>
            <w:vAlign w:val="center"/>
          </w:tcPr>
          <w:p>
            <w:pPr>
              <w:pStyle w:val="TableContents"/>
              <w:bidi w:val="0"/>
              <w:spacing w:before="0" w:after="283"/>
              <w:jc w:val="left"/>
              <w:rPr/>
            </w:pPr>
            <w:r>
              <w:rPr/>
              <w:t> </w:t>
            </w:r>
          </w:p>
        </w:tc>
      </w:tr>
      <w:tr>
        <w:trPr/>
        <w:tc>
          <w:tcPr>
            <w:tcW w:w="3683" w:type="dxa"/>
            <w:tcBorders/>
            <w:shd w:fill="CCEEFF" w:val="clear"/>
            <w:vAlign w:val="center"/>
          </w:tcPr>
          <w:p>
            <w:pPr>
              <w:pStyle w:val="TableContents"/>
              <w:bidi w:val="0"/>
              <w:spacing w:before="0" w:after="283"/>
              <w:jc w:val="left"/>
              <w:rPr>
                <w:sz w:val="16"/>
              </w:rPr>
            </w:pPr>
            <w:r>
              <w:rPr>
                <w:sz w:val="16"/>
              </w:rPr>
              <w:t>Employee benefits payable</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sz w:val="16"/>
              </w:rPr>
            </w:pPr>
            <w:r>
              <w:rPr>
                <w:sz w:val="16"/>
              </w:rPr>
              <w:t>29,118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777" w:type="dxa"/>
            <w:tcBorders/>
            <w:shd w:fill="CCEEFF" w:val="clear"/>
            <w:vAlign w:val="center"/>
          </w:tcPr>
          <w:p>
            <w:pPr>
              <w:pStyle w:val="TableContents"/>
              <w:bidi w:val="0"/>
              <w:spacing w:before="0" w:after="283"/>
              <w:jc w:val="right"/>
              <w:rPr>
                <w:sz w:val="16"/>
              </w:rPr>
            </w:pPr>
            <w:r>
              <w:rPr>
                <w:sz w:val="16"/>
              </w:rPr>
              <w:t>32,685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862"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7"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89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3"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sz w:val="16"/>
              </w:rPr>
            </w:pPr>
            <w:r>
              <w:rPr>
                <w:sz w:val="16"/>
              </w:rPr>
              <w:t>61,803</w:t>
            </w:r>
          </w:p>
        </w:tc>
        <w:tc>
          <w:tcPr>
            <w:tcW w:w="99" w:type="dxa"/>
            <w:tcBorders/>
            <w:shd w:fill="CCEEFF" w:val="clear"/>
            <w:vAlign w:val="center"/>
          </w:tcPr>
          <w:p>
            <w:pPr>
              <w:pStyle w:val="TableContents"/>
              <w:bidi w:val="0"/>
              <w:spacing w:before="0" w:after="283"/>
              <w:jc w:val="left"/>
              <w:rPr/>
            </w:pPr>
            <w:r>
              <w:rPr/>
              <w:t> </w:t>
            </w:r>
          </w:p>
        </w:tc>
      </w:tr>
      <w:tr>
        <w:trPr/>
        <w:tc>
          <w:tcPr>
            <w:tcW w:w="3683" w:type="dxa"/>
            <w:tcBorders/>
            <w:shd w:fill="FFFFFF" w:val="clear"/>
            <w:vAlign w:val="center"/>
          </w:tcPr>
          <w:p>
            <w:pPr>
              <w:pStyle w:val="TableContents"/>
              <w:bidi w:val="0"/>
              <w:spacing w:before="0" w:after="283"/>
              <w:jc w:val="left"/>
              <w:rPr>
                <w:sz w:val="16"/>
              </w:rPr>
            </w:pPr>
            <w:r>
              <w:rPr>
                <w:sz w:val="16"/>
              </w:rPr>
              <w:t>Contract liabilities</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sz w:val="16"/>
              </w:rPr>
            </w:pPr>
            <w:r>
              <w:rPr>
                <w:sz w:val="16"/>
              </w:rPr>
              <w:t>351,193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777" w:type="dxa"/>
            <w:tcBorders/>
            <w:shd w:fill="FFFFFF" w:val="clear"/>
            <w:vAlign w:val="center"/>
          </w:tcPr>
          <w:p>
            <w:pPr>
              <w:pStyle w:val="TableContents"/>
              <w:bidi w:val="0"/>
              <w:spacing w:before="0" w:after="283"/>
              <w:jc w:val="right"/>
              <w:rPr>
                <w:sz w:val="16"/>
              </w:rPr>
            </w:pPr>
            <w:r>
              <w:rPr>
                <w:sz w:val="16"/>
              </w:rPr>
              <w:t>79,181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7"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89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3"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sz w:val="16"/>
              </w:rPr>
            </w:pPr>
            <w:r>
              <w:rPr>
                <w:sz w:val="16"/>
              </w:rPr>
              <w:t>430,374</w:t>
            </w:r>
          </w:p>
        </w:tc>
        <w:tc>
          <w:tcPr>
            <w:tcW w:w="99" w:type="dxa"/>
            <w:tcBorders/>
            <w:shd w:fill="FFFFFF" w:val="clear"/>
            <w:vAlign w:val="center"/>
          </w:tcPr>
          <w:p>
            <w:pPr>
              <w:pStyle w:val="TableContents"/>
              <w:bidi w:val="0"/>
              <w:spacing w:before="0" w:after="283"/>
              <w:jc w:val="left"/>
              <w:rPr/>
            </w:pPr>
            <w:r>
              <w:rPr/>
              <w:t> </w:t>
            </w:r>
          </w:p>
        </w:tc>
      </w:tr>
      <w:tr>
        <w:trPr/>
        <w:tc>
          <w:tcPr>
            <w:tcW w:w="3683" w:type="dxa"/>
            <w:tcBorders/>
            <w:shd w:fill="CCEEFF" w:val="clear"/>
            <w:vAlign w:val="center"/>
          </w:tcPr>
          <w:p>
            <w:pPr>
              <w:pStyle w:val="TableContents"/>
              <w:bidi w:val="0"/>
              <w:spacing w:before="0" w:after="283"/>
              <w:jc w:val="left"/>
              <w:rPr>
                <w:sz w:val="16"/>
              </w:rPr>
            </w:pPr>
            <w:r>
              <w:rPr>
                <w:sz w:val="16"/>
              </w:rPr>
              <w:t>Current installments of long-term borrowings</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777" w:type="dxa"/>
            <w:tcBorders/>
            <w:shd w:fill="CCEEFF" w:val="clear"/>
            <w:vAlign w:val="center"/>
          </w:tcPr>
          <w:p>
            <w:pPr>
              <w:pStyle w:val="TableContents"/>
              <w:bidi w:val="0"/>
              <w:spacing w:before="0" w:after="283"/>
              <w:jc w:val="right"/>
              <w:rPr>
                <w:sz w:val="16"/>
              </w:rPr>
            </w:pPr>
            <w:r>
              <w:rPr>
                <w:sz w:val="16"/>
              </w:rPr>
              <w:t>12,532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862" w:type="dxa"/>
            <w:tcBorders/>
            <w:shd w:fill="CCEEFF" w:val="clear"/>
            <w:vAlign w:val="center"/>
          </w:tcPr>
          <w:p>
            <w:pPr>
              <w:pStyle w:val="TableContents"/>
              <w:bidi w:val="0"/>
              <w:spacing w:before="0" w:after="283"/>
              <w:jc w:val="right"/>
              <w:rPr>
                <w:sz w:val="16"/>
              </w:rPr>
            </w:pPr>
            <w:r>
              <w:rPr>
                <w:sz w:val="16"/>
              </w:rPr>
              <w:t>(12,532</w:t>
            </w:r>
          </w:p>
        </w:tc>
        <w:tc>
          <w:tcPr>
            <w:tcW w:w="80"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477" w:type="dxa"/>
            <w:tcBorders/>
            <w:shd w:fill="CCEEFF" w:val="clear"/>
            <w:vAlign w:val="center"/>
          </w:tcPr>
          <w:p>
            <w:pPr>
              <w:pStyle w:val="TableContents"/>
              <w:bidi w:val="0"/>
              <w:spacing w:before="0" w:after="283"/>
              <w:jc w:val="center"/>
              <w:rPr>
                <w:sz w:val="16"/>
              </w:rPr>
            </w:pPr>
            <w:r>
              <w:rPr>
                <w:sz w:val="16"/>
              </w:rPr>
              <w:t>(f)</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89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3"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w:t>
            </w:r>
          </w:p>
        </w:tc>
        <w:tc>
          <w:tcPr>
            <w:tcW w:w="99" w:type="dxa"/>
            <w:tcBorders/>
            <w:shd w:fill="CCEEFF" w:val="clear"/>
            <w:vAlign w:val="center"/>
          </w:tcPr>
          <w:p>
            <w:pPr>
              <w:pStyle w:val="TableContents"/>
              <w:bidi w:val="0"/>
              <w:spacing w:before="0" w:after="283"/>
              <w:jc w:val="left"/>
              <w:rPr/>
            </w:pPr>
            <w:r>
              <w:rPr/>
              <w:t> </w:t>
            </w:r>
          </w:p>
        </w:tc>
      </w:tr>
      <w:tr>
        <w:trPr/>
        <w:tc>
          <w:tcPr>
            <w:tcW w:w="3683" w:type="dxa"/>
            <w:tcBorders/>
            <w:shd w:fill="FFFFFF" w:val="clear"/>
            <w:vAlign w:val="center"/>
          </w:tcPr>
          <w:p>
            <w:pPr>
              <w:pStyle w:val="TableContents"/>
              <w:bidi w:val="0"/>
              <w:spacing w:before="0" w:after="283"/>
              <w:jc w:val="left"/>
              <w:rPr>
                <w:sz w:val="16"/>
              </w:rPr>
            </w:pPr>
            <w:r>
              <w:rPr>
                <w:sz w:val="16"/>
              </w:rPr>
              <w:t>Bridge Facility, net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777"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7"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894" w:type="dxa"/>
            <w:tcBorders/>
            <w:shd w:fill="FFFFFF" w:val="clear"/>
            <w:vAlign w:val="center"/>
          </w:tcPr>
          <w:p>
            <w:pPr>
              <w:pStyle w:val="TableContents"/>
              <w:bidi w:val="0"/>
              <w:spacing w:before="0" w:after="283"/>
              <w:jc w:val="right"/>
              <w:rPr>
                <w:sz w:val="16"/>
              </w:rPr>
            </w:pPr>
            <w:r>
              <w:rPr>
                <w:sz w:val="16"/>
              </w:rPr>
              <w:t>3,574,340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3" w:type="dxa"/>
            <w:tcBorders/>
            <w:shd w:fill="FFFFFF" w:val="clear"/>
            <w:vAlign w:val="center"/>
          </w:tcPr>
          <w:p>
            <w:pPr>
              <w:pStyle w:val="TableContents"/>
              <w:bidi w:val="0"/>
              <w:spacing w:before="0" w:after="283"/>
              <w:jc w:val="center"/>
              <w:rPr>
                <w:sz w:val="16"/>
              </w:rPr>
            </w:pPr>
            <w:r>
              <w:rPr>
                <w:sz w:val="16"/>
              </w:rPr>
              <w:t>(a)</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sz w:val="16"/>
              </w:rPr>
            </w:pPr>
            <w:r>
              <w:rPr>
                <w:sz w:val="16"/>
              </w:rPr>
              <w:t>3,574,340</w:t>
            </w:r>
          </w:p>
        </w:tc>
        <w:tc>
          <w:tcPr>
            <w:tcW w:w="99" w:type="dxa"/>
            <w:tcBorders/>
            <w:shd w:fill="FFFFFF" w:val="clear"/>
            <w:vAlign w:val="center"/>
          </w:tcPr>
          <w:p>
            <w:pPr>
              <w:pStyle w:val="TableContents"/>
              <w:bidi w:val="0"/>
              <w:spacing w:before="0" w:after="283"/>
              <w:jc w:val="left"/>
              <w:rPr/>
            </w:pPr>
            <w:r>
              <w:rPr/>
              <w:t> </w:t>
            </w:r>
          </w:p>
        </w:tc>
      </w:tr>
      <w:tr>
        <w:trPr/>
        <w:tc>
          <w:tcPr>
            <w:tcW w:w="3683" w:type="dxa"/>
            <w:tcBorders/>
            <w:shd w:fill="CCEEFF" w:val="clear"/>
            <w:vAlign w:val="center"/>
          </w:tcPr>
          <w:p>
            <w:pPr>
              <w:pStyle w:val="TableContents"/>
              <w:bidi w:val="0"/>
              <w:spacing w:before="0" w:after="283"/>
              <w:jc w:val="left"/>
              <w:rPr>
                <w:sz w:val="16"/>
              </w:rPr>
            </w:pPr>
            <w:r>
              <w:rPr>
                <w:sz w:val="16"/>
              </w:rPr>
              <w:t>Other current liabilities</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sz w:val="16"/>
              </w:rPr>
            </w:pPr>
            <w:r>
              <w:rPr>
                <w:sz w:val="16"/>
              </w:rPr>
              <w:t>29,167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77" w:type="dxa"/>
            <w:tcBorders>
              <w:bottom w:val="single" w:sz="8" w:space="0" w:color="000000"/>
            </w:tcBorders>
            <w:shd w:fill="CCEEFF" w:val="clear"/>
            <w:tcMar>
              <w:bottom w:w="28" w:type="dxa"/>
            </w:tcMar>
            <w:vAlign w:val="center"/>
          </w:tcPr>
          <w:p>
            <w:pPr>
              <w:pStyle w:val="TableContents"/>
              <w:bidi w:val="0"/>
              <w:spacing w:before="0" w:after="283"/>
              <w:jc w:val="right"/>
              <w:rPr>
                <w:sz w:val="16"/>
              </w:rPr>
            </w:pPr>
            <w:r>
              <w:rPr>
                <w:sz w:val="16"/>
              </w:rPr>
              <w:t>24,345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62"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7"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94"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3"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shd w:fill="CCEEFF" w:val="clear"/>
            <w:tcMar>
              <w:bottom w:w="28" w:type="dxa"/>
            </w:tcMar>
            <w:vAlign w:val="center"/>
          </w:tcPr>
          <w:p>
            <w:pPr>
              <w:pStyle w:val="TableContents"/>
              <w:bidi w:val="0"/>
              <w:spacing w:before="0" w:after="283"/>
              <w:jc w:val="right"/>
              <w:rPr>
                <w:sz w:val="16"/>
              </w:rPr>
            </w:pPr>
            <w:r>
              <w:rPr>
                <w:sz w:val="16"/>
              </w:rPr>
              <w:t>53,512</w:t>
            </w:r>
          </w:p>
        </w:tc>
        <w:tc>
          <w:tcPr>
            <w:tcW w:w="99" w:type="dxa"/>
            <w:tcBorders/>
            <w:shd w:fill="CCEEFF" w:val="clear"/>
            <w:vAlign w:val="center"/>
          </w:tcPr>
          <w:p>
            <w:pPr>
              <w:pStyle w:val="TableContents"/>
              <w:bidi w:val="0"/>
              <w:spacing w:before="0" w:after="283"/>
              <w:jc w:val="left"/>
              <w:rPr/>
            </w:pPr>
            <w:r>
              <w:rPr/>
              <w:t> </w:t>
            </w:r>
          </w:p>
        </w:tc>
      </w:tr>
      <w:tr>
        <w:trPr/>
        <w:tc>
          <w:tcPr>
            <w:tcW w:w="3683" w:type="dxa"/>
            <w:tcBorders/>
            <w:shd w:fill="FFFFFF" w:val="clear"/>
            <w:vAlign w:val="center"/>
          </w:tcPr>
          <w:p>
            <w:pPr>
              <w:pStyle w:val="TableContents"/>
              <w:bidi w:val="0"/>
              <w:spacing w:before="0" w:after="283"/>
              <w:jc w:val="left"/>
              <w:rPr>
                <w:sz w:val="16"/>
              </w:rPr>
            </w:pPr>
            <w:r>
              <w:rPr>
                <w:sz w:val="16"/>
              </w:rPr>
              <w:t>Total current liabilities</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sz w:val="16"/>
              </w:rPr>
            </w:pPr>
            <w:r>
              <w:rPr>
                <w:sz w:val="16"/>
              </w:rPr>
              <w:t>528,196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77" w:type="dxa"/>
            <w:tcBorders>
              <w:bottom w:val="single" w:sz="8" w:space="0" w:color="000000"/>
            </w:tcBorders>
            <w:shd w:fill="FFFFFF" w:val="clear"/>
            <w:tcMar>
              <w:bottom w:w="28" w:type="dxa"/>
            </w:tcMar>
            <w:vAlign w:val="center"/>
          </w:tcPr>
          <w:p>
            <w:pPr>
              <w:pStyle w:val="TableContents"/>
              <w:bidi w:val="0"/>
              <w:spacing w:before="0" w:after="283"/>
              <w:jc w:val="right"/>
              <w:rPr>
                <w:sz w:val="16"/>
              </w:rPr>
            </w:pPr>
            <w:r>
              <w:rPr>
                <w:sz w:val="16"/>
              </w:rPr>
              <w:t>177,494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62" w:type="dxa"/>
            <w:tcBorders>
              <w:bottom w:val="single" w:sz="8" w:space="0" w:color="000000"/>
            </w:tcBorders>
            <w:shd w:fill="FFFFFF" w:val="clear"/>
            <w:tcMar>
              <w:bottom w:w="28" w:type="dxa"/>
            </w:tcMar>
            <w:vAlign w:val="center"/>
          </w:tcPr>
          <w:p>
            <w:pPr>
              <w:pStyle w:val="TableContents"/>
              <w:bidi w:val="0"/>
              <w:spacing w:before="0" w:after="283"/>
              <w:jc w:val="right"/>
              <w:rPr>
                <w:sz w:val="16"/>
              </w:rPr>
            </w:pPr>
            <w:r>
              <w:rPr>
                <w:sz w:val="16"/>
              </w:rPr>
              <w:t>(42,485</w:t>
            </w:r>
          </w:p>
        </w:tc>
        <w:tc>
          <w:tcPr>
            <w:tcW w:w="80" w:type="dxa"/>
            <w:tcBorders/>
            <w:shd w:fill="FFFFFF" w:val="clear"/>
            <w:vAlign w:val="center"/>
          </w:tcPr>
          <w:p>
            <w:pPr>
              <w:pStyle w:val="TableContents"/>
              <w:bidi w:val="0"/>
              <w:spacing w:before="0" w:after="283"/>
              <w:jc w:val="lef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477"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94" w:type="dxa"/>
            <w:tcBorders>
              <w:bottom w:val="single" w:sz="8" w:space="0" w:color="000000"/>
            </w:tcBorders>
            <w:shd w:fill="FFFFFF" w:val="clear"/>
            <w:tcMar>
              <w:bottom w:w="28" w:type="dxa"/>
            </w:tcMar>
            <w:vAlign w:val="center"/>
          </w:tcPr>
          <w:p>
            <w:pPr>
              <w:pStyle w:val="TableContents"/>
              <w:bidi w:val="0"/>
              <w:spacing w:before="0" w:after="283"/>
              <w:jc w:val="right"/>
              <w:rPr>
                <w:sz w:val="16"/>
              </w:rPr>
            </w:pPr>
            <w:r>
              <w:rPr>
                <w:sz w:val="16"/>
              </w:rPr>
              <w:t>3,574,340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3"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shd w:fill="FFFFFF" w:val="clear"/>
            <w:tcMar>
              <w:bottom w:w="28" w:type="dxa"/>
            </w:tcMar>
            <w:vAlign w:val="center"/>
          </w:tcPr>
          <w:p>
            <w:pPr>
              <w:pStyle w:val="TableContents"/>
              <w:bidi w:val="0"/>
              <w:spacing w:before="0" w:after="283"/>
              <w:jc w:val="right"/>
              <w:rPr>
                <w:sz w:val="16"/>
              </w:rPr>
            </w:pPr>
            <w:r>
              <w:rPr>
                <w:sz w:val="16"/>
              </w:rPr>
              <w:t>4,237,545</w:t>
            </w:r>
          </w:p>
        </w:tc>
        <w:tc>
          <w:tcPr>
            <w:tcW w:w="99" w:type="dxa"/>
            <w:tcBorders/>
            <w:shd w:fill="FFFFFF" w:val="clear"/>
            <w:vAlign w:val="center"/>
          </w:tcPr>
          <w:p>
            <w:pPr>
              <w:pStyle w:val="TableContents"/>
              <w:bidi w:val="0"/>
              <w:spacing w:before="0" w:after="283"/>
              <w:jc w:val="left"/>
              <w:rPr/>
            </w:pPr>
            <w:r>
              <w:rPr/>
              <w:t> </w:t>
            </w:r>
          </w:p>
        </w:tc>
      </w:tr>
      <w:tr>
        <w:trPr/>
        <w:tc>
          <w:tcPr>
            <w:tcW w:w="3683" w:type="dxa"/>
            <w:tcBorders/>
            <w:shd w:fill="CCEEFF" w:val="clear"/>
            <w:vAlign w:val="center"/>
          </w:tcPr>
          <w:p>
            <w:pPr>
              <w:pStyle w:val="TableContents"/>
              <w:bidi w:val="0"/>
              <w:spacing w:before="0" w:after="283"/>
              <w:jc w:val="left"/>
              <w:rPr>
                <w:sz w:val="16"/>
              </w:rPr>
            </w:pPr>
            <w:r>
              <w:rPr>
                <w:sz w:val="16"/>
              </w:rPr>
              <w:t>Non-current liabilities:</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77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862"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7"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89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3"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99" w:type="dxa"/>
            <w:tcBorders/>
            <w:shd w:fill="CCEEFF" w:val="clear"/>
            <w:vAlign w:val="center"/>
          </w:tcPr>
          <w:p>
            <w:pPr>
              <w:pStyle w:val="TableContents"/>
              <w:bidi w:val="0"/>
              <w:spacing w:before="0" w:after="283"/>
              <w:jc w:val="left"/>
              <w:rPr/>
            </w:pPr>
            <w:r>
              <w:rPr/>
              <w:t> </w:t>
            </w:r>
          </w:p>
        </w:tc>
      </w:tr>
      <w:tr>
        <w:trPr/>
        <w:tc>
          <w:tcPr>
            <w:tcW w:w="3683" w:type="dxa"/>
            <w:tcBorders/>
            <w:shd w:fill="FFFFFF" w:val="clear"/>
            <w:vAlign w:val="center"/>
          </w:tcPr>
          <w:p>
            <w:pPr>
              <w:pStyle w:val="TableContents"/>
              <w:bidi w:val="0"/>
              <w:spacing w:before="0" w:after="283"/>
              <w:jc w:val="left"/>
              <w:rPr>
                <w:sz w:val="16"/>
              </w:rPr>
            </w:pPr>
            <w:r>
              <w:rPr>
                <w:sz w:val="16"/>
              </w:rPr>
              <w:t>Convertible senior notes, net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sz w:val="16"/>
              </w:rPr>
            </w:pPr>
            <w:r>
              <w:rPr>
                <w:sz w:val="16"/>
              </w:rPr>
              <w:t>13,129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777"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7"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89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3"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sz w:val="16"/>
              </w:rPr>
            </w:pPr>
            <w:r>
              <w:rPr>
                <w:sz w:val="16"/>
              </w:rPr>
              <w:t>13,129</w:t>
            </w:r>
          </w:p>
        </w:tc>
        <w:tc>
          <w:tcPr>
            <w:tcW w:w="99" w:type="dxa"/>
            <w:tcBorders/>
            <w:shd w:fill="FFFFFF" w:val="clear"/>
            <w:vAlign w:val="center"/>
          </w:tcPr>
          <w:p>
            <w:pPr>
              <w:pStyle w:val="TableContents"/>
              <w:bidi w:val="0"/>
              <w:spacing w:before="0" w:after="283"/>
              <w:jc w:val="left"/>
              <w:rPr/>
            </w:pPr>
            <w:r>
              <w:rPr/>
              <w:t> </w:t>
            </w:r>
          </w:p>
        </w:tc>
      </w:tr>
      <w:tr>
        <w:trPr/>
        <w:tc>
          <w:tcPr>
            <w:tcW w:w="3683" w:type="dxa"/>
            <w:tcBorders/>
            <w:shd w:fill="CCEEFF" w:val="clear"/>
            <w:vAlign w:val="center"/>
          </w:tcPr>
          <w:p>
            <w:pPr>
              <w:pStyle w:val="TableContents"/>
              <w:bidi w:val="0"/>
              <w:spacing w:before="0" w:after="283"/>
              <w:jc w:val="left"/>
              <w:rPr>
                <w:sz w:val="16"/>
              </w:rPr>
            </w:pPr>
            <w:r>
              <w:rPr>
                <w:sz w:val="16"/>
              </w:rPr>
              <w:t>Long-term borrowings, net excluding current installments</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sz w:val="16"/>
              </w:rPr>
            </w:pPr>
            <w:r>
              <w:rPr>
                <w:sz w:val="16"/>
              </w:rPr>
              <w:t>1,716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777" w:type="dxa"/>
            <w:tcBorders/>
            <w:shd w:fill="CCEEFF" w:val="clear"/>
            <w:vAlign w:val="center"/>
          </w:tcPr>
          <w:p>
            <w:pPr>
              <w:pStyle w:val="TableContents"/>
              <w:bidi w:val="0"/>
              <w:spacing w:before="0" w:after="283"/>
              <w:jc w:val="right"/>
              <w:rPr>
                <w:sz w:val="16"/>
              </w:rPr>
            </w:pPr>
            <w:r>
              <w:rPr>
                <w:sz w:val="16"/>
              </w:rPr>
              <w:t>1,749,342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862" w:type="dxa"/>
            <w:tcBorders/>
            <w:shd w:fill="CCEEFF" w:val="clear"/>
            <w:vAlign w:val="center"/>
          </w:tcPr>
          <w:p>
            <w:pPr>
              <w:pStyle w:val="TableContents"/>
              <w:bidi w:val="0"/>
              <w:spacing w:before="0" w:after="283"/>
              <w:jc w:val="right"/>
              <w:rPr>
                <w:sz w:val="16"/>
              </w:rPr>
            </w:pPr>
            <w:r>
              <w:rPr>
                <w:sz w:val="16"/>
              </w:rPr>
              <w:t>(1,749,342</w:t>
            </w:r>
          </w:p>
        </w:tc>
        <w:tc>
          <w:tcPr>
            <w:tcW w:w="80"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477" w:type="dxa"/>
            <w:tcBorders/>
            <w:shd w:fill="CCEEFF" w:val="clear"/>
            <w:vAlign w:val="center"/>
          </w:tcPr>
          <w:p>
            <w:pPr>
              <w:pStyle w:val="TableContents"/>
              <w:bidi w:val="0"/>
              <w:spacing w:before="0" w:after="283"/>
              <w:jc w:val="center"/>
              <w:rPr>
                <w:sz w:val="16"/>
              </w:rPr>
            </w:pPr>
            <w:r>
              <w:rPr>
                <w:sz w:val="16"/>
              </w:rPr>
              <w:t>(f)</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89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3"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sz w:val="16"/>
              </w:rPr>
            </w:pPr>
            <w:r>
              <w:rPr>
                <w:sz w:val="16"/>
              </w:rPr>
              <w:t>1,716</w:t>
            </w:r>
          </w:p>
        </w:tc>
        <w:tc>
          <w:tcPr>
            <w:tcW w:w="99" w:type="dxa"/>
            <w:tcBorders/>
            <w:shd w:fill="CCEEFF" w:val="clear"/>
            <w:vAlign w:val="center"/>
          </w:tcPr>
          <w:p>
            <w:pPr>
              <w:pStyle w:val="TableContents"/>
              <w:bidi w:val="0"/>
              <w:spacing w:before="0" w:after="283"/>
              <w:jc w:val="left"/>
              <w:rPr/>
            </w:pPr>
            <w:r>
              <w:rPr/>
              <w:t> </w:t>
            </w:r>
          </w:p>
        </w:tc>
      </w:tr>
      <w:tr>
        <w:trPr/>
        <w:tc>
          <w:tcPr>
            <w:tcW w:w="3683" w:type="dxa"/>
            <w:tcBorders/>
            <w:shd w:fill="FFFFFF" w:val="clear"/>
            <w:vAlign w:val="center"/>
          </w:tcPr>
          <w:p>
            <w:pPr>
              <w:pStyle w:val="TableContents"/>
              <w:bidi w:val="0"/>
              <w:spacing w:before="0" w:after="283"/>
              <w:jc w:val="left"/>
              <w:rPr>
                <w:sz w:val="16"/>
              </w:rPr>
            </w:pPr>
            <w:r>
              <w:rPr>
                <w:sz w:val="16"/>
              </w:rPr>
              <w:t>Non-current operating lease liabilities</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sz w:val="16"/>
              </w:rPr>
            </w:pPr>
            <w:r>
              <w:rPr>
                <w:sz w:val="16"/>
              </w:rPr>
              <w:t>104,378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777" w:type="dxa"/>
            <w:tcBorders/>
            <w:shd w:fill="FFFFFF" w:val="clear"/>
            <w:vAlign w:val="center"/>
          </w:tcPr>
          <w:p>
            <w:pPr>
              <w:pStyle w:val="TableContents"/>
              <w:bidi w:val="0"/>
              <w:spacing w:before="0" w:after="283"/>
              <w:jc w:val="right"/>
              <w:rPr>
                <w:sz w:val="16"/>
              </w:rPr>
            </w:pPr>
            <w:r>
              <w:rPr>
                <w:sz w:val="16"/>
              </w:rPr>
              <w:t>25,289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7"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89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3"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sz w:val="16"/>
              </w:rPr>
            </w:pPr>
            <w:r>
              <w:rPr>
                <w:sz w:val="16"/>
              </w:rPr>
              <w:t>129,667</w:t>
            </w:r>
          </w:p>
        </w:tc>
        <w:tc>
          <w:tcPr>
            <w:tcW w:w="99" w:type="dxa"/>
            <w:tcBorders/>
            <w:shd w:fill="FFFFFF" w:val="clear"/>
            <w:vAlign w:val="center"/>
          </w:tcPr>
          <w:p>
            <w:pPr>
              <w:pStyle w:val="TableContents"/>
              <w:bidi w:val="0"/>
              <w:spacing w:before="0" w:after="283"/>
              <w:jc w:val="left"/>
              <w:rPr/>
            </w:pPr>
            <w:r>
              <w:rPr/>
              <w:t> </w:t>
            </w:r>
          </w:p>
        </w:tc>
      </w:tr>
      <w:tr>
        <w:trPr/>
        <w:tc>
          <w:tcPr>
            <w:tcW w:w="3683" w:type="dxa"/>
            <w:tcBorders/>
            <w:shd w:fill="CCEEFF" w:val="clear"/>
            <w:vAlign w:val="center"/>
          </w:tcPr>
          <w:p>
            <w:pPr>
              <w:pStyle w:val="TableContents"/>
              <w:bidi w:val="0"/>
              <w:spacing w:before="0" w:after="283"/>
              <w:jc w:val="left"/>
              <w:rPr>
                <w:sz w:val="16"/>
              </w:rPr>
            </w:pPr>
            <w:r>
              <w:rPr>
                <w:sz w:val="16"/>
              </w:rPr>
              <w:t>Non-current finance lease liabilities</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sz w:val="16"/>
              </w:rPr>
            </w:pPr>
            <w:r>
              <w:rPr>
                <w:sz w:val="16"/>
              </w:rPr>
              <w:t>14,468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777"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862"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7"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89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3"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sz w:val="16"/>
              </w:rPr>
            </w:pPr>
            <w:r>
              <w:rPr>
                <w:sz w:val="16"/>
              </w:rPr>
              <w:t>14,468</w:t>
            </w:r>
          </w:p>
        </w:tc>
        <w:tc>
          <w:tcPr>
            <w:tcW w:w="99" w:type="dxa"/>
            <w:tcBorders/>
            <w:shd w:fill="CCEEFF" w:val="clear"/>
            <w:vAlign w:val="center"/>
          </w:tcPr>
          <w:p>
            <w:pPr>
              <w:pStyle w:val="TableContents"/>
              <w:bidi w:val="0"/>
              <w:spacing w:before="0" w:after="283"/>
              <w:jc w:val="left"/>
              <w:rPr/>
            </w:pPr>
            <w:r>
              <w:rPr/>
              <w:t> </w:t>
            </w:r>
          </w:p>
        </w:tc>
      </w:tr>
      <w:tr>
        <w:trPr/>
        <w:tc>
          <w:tcPr>
            <w:tcW w:w="3683" w:type="dxa"/>
            <w:tcBorders/>
            <w:shd w:fill="FFFFFF" w:val="clear"/>
            <w:vAlign w:val="center"/>
          </w:tcPr>
          <w:p>
            <w:pPr>
              <w:pStyle w:val="TableContents"/>
              <w:bidi w:val="0"/>
              <w:spacing w:before="0" w:after="283"/>
              <w:jc w:val="left"/>
              <w:rPr>
                <w:sz w:val="16"/>
              </w:rPr>
            </w:pPr>
            <w:r>
              <w:rPr>
                <w:sz w:val="16"/>
              </w:rPr>
              <w:t>Deferred tax liabilities</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sz w:val="16"/>
              </w:rPr>
            </w:pPr>
            <w:r>
              <w:rPr>
                <w:sz w:val="16"/>
              </w:rPr>
              <w:t>10,146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777" w:type="dxa"/>
            <w:tcBorders/>
            <w:shd w:fill="FFFFFF" w:val="clear"/>
            <w:vAlign w:val="center"/>
          </w:tcPr>
          <w:p>
            <w:pPr>
              <w:pStyle w:val="TableContents"/>
              <w:bidi w:val="0"/>
              <w:spacing w:before="0" w:after="283"/>
              <w:jc w:val="right"/>
              <w:rPr>
                <w:sz w:val="16"/>
              </w:rPr>
            </w:pPr>
            <w:r>
              <w:rPr>
                <w:sz w:val="16"/>
              </w:rPr>
              <w:t>138,424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sz w:val="16"/>
              </w:rPr>
            </w:pPr>
            <w:r>
              <w:rPr>
                <w:sz w:val="16"/>
              </w:rPr>
              <w:t>673,208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7" w:type="dxa"/>
            <w:tcBorders/>
            <w:shd w:fill="FFFFFF" w:val="clear"/>
            <w:vAlign w:val="center"/>
          </w:tcPr>
          <w:p>
            <w:pPr>
              <w:pStyle w:val="TableContents"/>
              <w:bidi w:val="0"/>
              <w:spacing w:before="0" w:after="283"/>
              <w:jc w:val="center"/>
              <w:rPr>
                <w:sz w:val="16"/>
              </w:rPr>
            </w:pPr>
            <w:r>
              <w:rPr>
                <w:sz w:val="16"/>
              </w:rPr>
              <w:t>(g)</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89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3"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sz w:val="16"/>
              </w:rPr>
            </w:pPr>
            <w:r>
              <w:rPr>
                <w:sz w:val="16"/>
              </w:rPr>
              <w:t>821,778</w:t>
            </w:r>
          </w:p>
        </w:tc>
        <w:tc>
          <w:tcPr>
            <w:tcW w:w="99" w:type="dxa"/>
            <w:tcBorders/>
            <w:shd w:fill="FFFFFF" w:val="clear"/>
            <w:vAlign w:val="center"/>
          </w:tcPr>
          <w:p>
            <w:pPr>
              <w:pStyle w:val="TableContents"/>
              <w:bidi w:val="0"/>
              <w:spacing w:before="0" w:after="283"/>
              <w:jc w:val="left"/>
              <w:rPr/>
            </w:pPr>
            <w:r>
              <w:rPr/>
              <w:t> </w:t>
            </w:r>
          </w:p>
        </w:tc>
      </w:tr>
      <w:tr>
        <w:trPr/>
        <w:tc>
          <w:tcPr>
            <w:tcW w:w="3683" w:type="dxa"/>
            <w:tcBorders/>
            <w:shd w:fill="CCEEFF" w:val="clear"/>
            <w:vAlign w:val="center"/>
          </w:tcPr>
          <w:p>
            <w:pPr>
              <w:pStyle w:val="TableContents"/>
              <w:bidi w:val="0"/>
              <w:spacing w:before="0" w:after="283"/>
              <w:jc w:val="left"/>
              <w:rPr>
                <w:sz w:val="16"/>
              </w:rPr>
            </w:pPr>
            <w:r>
              <w:rPr>
                <w:sz w:val="16"/>
              </w:rPr>
              <w:t>Other non-current liabilities</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sz w:val="16"/>
              </w:rPr>
            </w:pPr>
            <w:r>
              <w:rPr>
                <w:sz w:val="16"/>
              </w:rPr>
              <w:t>23,188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77" w:type="dxa"/>
            <w:tcBorders>
              <w:bottom w:val="single" w:sz="8" w:space="0" w:color="000000"/>
            </w:tcBorders>
            <w:shd w:fill="CCEEFF" w:val="clear"/>
            <w:tcMar>
              <w:bottom w:w="28" w:type="dxa"/>
            </w:tcMar>
            <w:vAlign w:val="center"/>
          </w:tcPr>
          <w:p>
            <w:pPr>
              <w:pStyle w:val="TableContents"/>
              <w:bidi w:val="0"/>
              <w:spacing w:before="0" w:after="283"/>
              <w:jc w:val="right"/>
              <w:rPr>
                <w:sz w:val="16"/>
              </w:rPr>
            </w:pPr>
            <w:r>
              <w:rPr>
                <w:sz w:val="16"/>
              </w:rPr>
              <w:t>2,033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62"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7"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94"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3"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shd w:fill="CCEEFF" w:val="clear"/>
            <w:tcMar>
              <w:bottom w:w="28" w:type="dxa"/>
            </w:tcMar>
            <w:vAlign w:val="center"/>
          </w:tcPr>
          <w:p>
            <w:pPr>
              <w:pStyle w:val="TableContents"/>
              <w:bidi w:val="0"/>
              <w:spacing w:before="0" w:after="283"/>
              <w:jc w:val="right"/>
              <w:rPr>
                <w:sz w:val="16"/>
              </w:rPr>
            </w:pPr>
            <w:r>
              <w:rPr>
                <w:sz w:val="16"/>
              </w:rPr>
              <w:t>25,221</w:t>
            </w:r>
          </w:p>
        </w:tc>
        <w:tc>
          <w:tcPr>
            <w:tcW w:w="99" w:type="dxa"/>
            <w:tcBorders/>
            <w:shd w:fill="CCEEFF" w:val="clear"/>
            <w:vAlign w:val="center"/>
          </w:tcPr>
          <w:p>
            <w:pPr>
              <w:pStyle w:val="TableContents"/>
              <w:bidi w:val="0"/>
              <w:spacing w:before="0" w:after="283"/>
              <w:jc w:val="left"/>
              <w:rPr/>
            </w:pPr>
            <w:r>
              <w:rPr/>
              <w:t> </w:t>
            </w:r>
          </w:p>
        </w:tc>
      </w:tr>
      <w:tr>
        <w:trPr/>
        <w:tc>
          <w:tcPr>
            <w:tcW w:w="3683" w:type="dxa"/>
            <w:tcBorders/>
            <w:shd w:fill="FFFFFF" w:val="clear"/>
            <w:vAlign w:val="center"/>
          </w:tcPr>
          <w:p>
            <w:pPr>
              <w:pStyle w:val="TableContents"/>
              <w:bidi w:val="0"/>
              <w:spacing w:before="0" w:after="283"/>
              <w:jc w:val="left"/>
              <w:rPr>
                <w:sz w:val="16"/>
              </w:rPr>
            </w:pPr>
            <w:r>
              <w:rPr>
                <w:sz w:val="16"/>
              </w:rPr>
              <w:t>Total liabilities</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sz w:val="16"/>
              </w:rPr>
            </w:pPr>
            <w:r>
              <w:rPr>
                <w:sz w:val="16"/>
              </w:rPr>
              <w:t>695,221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77" w:type="dxa"/>
            <w:tcBorders>
              <w:bottom w:val="single" w:sz="8" w:space="0" w:color="000000"/>
            </w:tcBorders>
            <w:shd w:fill="FFFFFF" w:val="clear"/>
            <w:tcMar>
              <w:bottom w:w="28" w:type="dxa"/>
            </w:tcMar>
            <w:vAlign w:val="center"/>
          </w:tcPr>
          <w:p>
            <w:pPr>
              <w:pStyle w:val="TableContents"/>
              <w:bidi w:val="0"/>
              <w:spacing w:before="0" w:after="283"/>
              <w:jc w:val="right"/>
              <w:rPr>
                <w:sz w:val="16"/>
              </w:rPr>
            </w:pPr>
            <w:r>
              <w:rPr>
                <w:sz w:val="16"/>
              </w:rPr>
              <w:t>2,092,582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62" w:type="dxa"/>
            <w:tcBorders>
              <w:bottom w:val="single" w:sz="8" w:space="0" w:color="000000"/>
            </w:tcBorders>
            <w:shd w:fill="FFFFFF" w:val="clear"/>
            <w:tcMar>
              <w:bottom w:w="28" w:type="dxa"/>
            </w:tcMar>
            <w:vAlign w:val="center"/>
          </w:tcPr>
          <w:p>
            <w:pPr>
              <w:pStyle w:val="TableContents"/>
              <w:bidi w:val="0"/>
              <w:spacing w:before="0" w:after="283"/>
              <w:jc w:val="right"/>
              <w:rPr>
                <w:sz w:val="16"/>
              </w:rPr>
            </w:pPr>
            <w:r>
              <w:rPr>
                <w:sz w:val="16"/>
              </w:rPr>
              <w:t>(1,118,619</w:t>
            </w:r>
          </w:p>
        </w:tc>
        <w:tc>
          <w:tcPr>
            <w:tcW w:w="80" w:type="dxa"/>
            <w:tcBorders/>
            <w:shd w:fill="FFFFFF" w:val="clear"/>
            <w:vAlign w:val="center"/>
          </w:tcPr>
          <w:p>
            <w:pPr>
              <w:pStyle w:val="TableContents"/>
              <w:bidi w:val="0"/>
              <w:spacing w:before="0" w:after="283"/>
              <w:jc w:val="lef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477"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94" w:type="dxa"/>
            <w:tcBorders>
              <w:bottom w:val="single" w:sz="8" w:space="0" w:color="000000"/>
            </w:tcBorders>
            <w:shd w:fill="FFFFFF" w:val="clear"/>
            <w:tcMar>
              <w:bottom w:w="28" w:type="dxa"/>
            </w:tcMar>
            <w:vAlign w:val="center"/>
          </w:tcPr>
          <w:p>
            <w:pPr>
              <w:pStyle w:val="TableContents"/>
              <w:bidi w:val="0"/>
              <w:spacing w:before="0" w:after="283"/>
              <w:jc w:val="right"/>
              <w:rPr>
                <w:sz w:val="16"/>
              </w:rPr>
            </w:pPr>
            <w:r>
              <w:rPr>
                <w:sz w:val="16"/>
              </w:rPr>
              <w:t>3,574,340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3"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shd w:fill="FFFFFF" w:val="clear"/>
            <w:tcMar>
              <w:bottom w:w="28" w:type="dxa"/>
            </w:tcMar>
            <w:vAlign w:val="center"/>
          </w:tcPr>
          <w:p>
            <w:pPr>
              <w:pStyle w:val="TableContents"/>
              <w:bidi w:val="0"/>
              <w:spacing w:before="0" w:after="283"/>
              <w:jc w:val="right"/>
              <w:rPr>
                <w:sz w:val="16"/>
              </w:rPr>
            </w:pPr>
            <w:r>
              <w:rPr>
                <w:sz w:val="16"/>
              </w:rPr>
              <w:t>5,243,524</w:t>
            </w:r>
          </w:p>
        </w:tc>
        <w:tc>
          <w:tcPr>
            <w:tcW w:w="99" w:type="dxa"/>
            <w:tcBorders/>
            <w:shd w:fill="FFFFFF" w:val="clear"/>
            <w:vAlign w:val="center"/>
          </w:tcPr>
          <w:p>
            <w:pPr>
              <w:pStyle w:val="TableContents"/>
              <w:bidi w:val="0"/>
              <w:spacing w:before="0" w:after="283"/>
              <w:jc w:val="left"/>
              <w:rPr/>
            </w:pPr>
            <w:r>
              <w:rPr/>
              <w:t> </w:t>
            </w:r>
          </w:p>
        </w:tc>
      </w:tr>
      <w:tr>
        <w:trPr/>
        <w:tc>
          <w:tcPr>
            <w:tcW w:w="368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77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862"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7"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89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3"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99" w:type="dxa"/>
            <w:tcBorders/>
            <w:shd w:fill="CCEEFF" w:val="clear"/>
            <w:vAlign w:val="center"/>
          </w:tcPr>
          <w:p>
            <w:pPr>
              <w:pStyle w:val="TableContents"/>
              <w:bidi w:val="0"/>
              <w:spacing w:before="0" w:after="283"/>
              <w:jc w:val="left"/>
              <w:rPr/>
            </w:pPr>
            <w:r>
              <w:rPr/>
              <w:t> </w:t>
            </w:r>
          </w:p>
        </w:tc>
      </w:tr>
      <w:tr>
        <w:trPr/>
        <w:tc>
          <w:tcPr>
            <w:tcW w:w="3683" w:type="dxa"/>
            <w:tcBorders/>
            <w:shd w:fill="FFFFFF" w:val="clear"/>
            <w:vAlign w:val="center"/>
          </w:tcPr>
          <w:p>
            <w:pPr>
              <w:pStyle w:val="TableContents"/>
              <w:bidi w:val="0"/>
              <w:spacing w:before="0" w:after="283"/>
              <w:jc w:val="left"/>
              <w:rPr>
                <w:sz w:val="16"/>
              </w:rPr>
            </w:pPr>
            <w:r>
              <w:rPr>
                <w:sz w:val="16"/>
              </w:rPr>
              <w:t>Stockholders’ equity:</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77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7"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89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3"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 </w:t>
            </w:r>
          </w:p>
        </w:tc>
        <w:tc>
          <w:tcPr>
            <w:tcW w:w="99" w:type="dxa"/>
            <w:tcBorders/>
            <w:shd w:fill="FFFFFF" w:val="clear"/>
            <w:vAlign w:val="center"/>
          </w:tcPr>
          <w:p>
            <w:pPr>
              <w:pStyle w:val="TableContents"/>
              <w:bidi w:val="0"/>
              <w:spacing w:before="0" w:after="283"/>
              <w:jc w:val="left"/>
              <w:rPr/>
            </w:pPr>
            <w:r>
              <w:rPr/>
              <w:t> </w:t>
            </w:r>
          </w:p>
        </w:tc>
      </w:tr>
      <w:tr>
        <w:trPr/>
        <w:tc>
          <w:tcPr>
            <w:tcW w:w="3683" w:type="dxa"/>
            <w:tcBorders/>
            <w:shd w:fill="CCEEFF" w:val="clear"/>
            <w:vAlign w:val="center"/>
          </w:tcPr>
          <w:p>
            <w:pPr>
              <w:pStyle w:val="TableContents"/>
              <w:bidi w:val="0"/>
              <w:spacing w:before="0" w:after="283"/>
              <w:jc w:val="left"/>
              <w:rPr>
                <w:sz w:val="16"/>
              </w:rPr>
            </w:pPr>
            <w:r>
              <w:rPr>
                <w:sz w:val="16"/>
              </w:rPr>
              <w:t>Preferred stock, $0.0001 par value, authorized shares: 100,000,000; issued and outstanding shares: 40,951,250 at June 30, 2026</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sz w:val="16"/>
              </w:rPr>
            </w:pPr>
            <w:r>
              <w:rPr>
                <w:sz w:val="16"/>
              </w:rPr>
              <w:t>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777"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862"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7"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89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3"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sz w:val="16"/>
              </w:rPr>
            </w:pPr>
            <w:r>
              <w:rPr>
                <w:sz w:val="16"/>
              </w:rPr>
              <w:t>4</w:t>
            </w:r>
          </w:p>
        </w:tc>
        <w:tc>
          <w:tcPr>
            <w:tcW w:w="99" w:type="dxa"/>
            <w:tcBorders/>
            <w:shd w:fill="CCEEFF" w:val="clear"/>
            <w:vAlign w:val="center"/>
          </w:tcPr>
          <w:p>
            <w:pPr>
              <w:pStyle w:val="TableContents"/>
              <w:bidi w:val="0"/>
              <w:spacing w:before="0" w:after="283"/>
              <w:jc w:val="left"/>
              <w:rPr/>
            </w:pPr>
            <w:r>
              <w:rPr/>
              <w:t> </w:t>
            </w:r>
          </w:p>
        </w:tc>
      </w:tr>
      <w:tr>
        <w:trPr/>
        <w:tc>
          <w:tcPr>
            <w:tcW w:w="3683" w:type="dxa"/>
            <w:tcBorders/>
            <w:shd w:fill="FFFFFF" w:val="clear"/>
            <w:vAlign w:val="center"/>
          </w:tcPr>
          <w:p>
            <w:pPr>
              <w:pStyle w:val="TableContents"/>
              <w:bidi w:val="0"/>
              <w:spacing w:before="0" w:after="283"/>
              <w:jc w:val="left"/>
              <w:rPr>
                <w:sz w:val="16"/>
              </w:rPr>
            </w:pPr>
            <w:r>
              <w:rPr>
                <w:sz w:val="16"/>
              </w:rPr>
              <w:t>Common stock, $0.0001 par value; authorized shares: 2,500,000,000; issued shares: 639,131,688 at June 30, 2026; outstanding shares 598,180,438 at June 30, 2026</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sz w:val="16"/>
              </w:rPr>
            </w:pPr>
            <w:r>
              <w:rPr>
                <w:sz w:val="16"/>
              </w:rPr>
              <w:t>60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777" w:type="dxa"/>
            <w:tcBorders/>
            <w:shd w:fill="FFFFFF" w:val="clear"/>
            <w:vAlign w:val="center"/>
          </w:tcPr>
          <w:p>
            <w:pPr>
              <w:pStyle w:val="TableContents"/>
              <w:bidi w:val="0"/>
              <w:spacing w:before="0" w:after="283"/>
              <w:jc w:val="right"/>
              <w:rPr>
                <w:sz w:val="16"/>
              </w:rPr>
            </w:pPr>
            <w:r>
              <w:rPr>
                <w:sz w:val="16"/>
              </w:rPr>
              <w:t>106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sz w:val="16"/>
              </w:rPr>
            </w:pPr>
            <w:r>
              <w:rPr>
                <w:sz w:val="16"/>
              </w:rPr>
              <w:t>4,020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7" w:type="dxa"/>
            <w:tcBorders/>
            <w:shd w:fill="FFFFFF" w:val="clear"/>
            <w:vAlign w:val="center"/>
          </w:tcPr>
          <w:p>
            <w:pPr>
              <w:pStyle w:val="TableContents"/>
              <w:bidi w:val="0"/>
              <w:spacing w:before="0" w:after="283"/>
              <w:jc w:val="center"/>
              <w:rPr>
                <w:sz w:val="16"/>
              </w:rPr>
            </w:pPr>
            <w:r>
              <w:rPr>
                <w:sz w:val="16"/>
              </w:rPr>
              <w:t>(h)</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89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3"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sz w:val="16"/>
              </w:rPr>
            </w:pPr>
            <w:r>
              <w:rPr>
                <w:sz w:val="16"/>
              </w:rPr>
              <w:t>4,186</w:t>
            </w:r>
          </w:p>
        </w:tc>
        <w:tc>
          <w:tcPr>
            <w:tcW w:w="99" w:type="dxa"/>
            <w:tcBorders/>
            <w:shd w:fill="FFFFFF" w:val="clear"/>
            <w:vAlign w:val="center"/>
          </w:tcPr>
          <w:p>
            <w:pPr>
              <w:pStyle w:val="TableContents"/>
              <w:bidi w:val="0"/>
              <w:spacing w:before="0" w:after="283"/>
              <w:jc w:val="left"/>
              <w:rPr/>
            </w:pPr>
            <w:r>
              <w:rPr/>
              <w:t> </w:t>
            </w:r>
          </w:p>
        </w:tc>
      </w:tr>
      <w:tr>
        <w:trPr/>
        <w:tc>
          <w:tcPr>
            <w:tcW w:w="3683" w:type="dxa"/>
            <w:tcBorders/>
            <w:shd w:fill="CCEEFF" w:val="clear"/>
            <w:vAlign w:val="center"/>
          </w:tcPr>
          <w:p>
            <w:pPr>
              <w:pStyle w:val="TableContents"/>
              <w:bidi w:val="0"/>
              <w:spacing w:before="0" w:after="283"/>
              <w:jc w:val="left"/>
              <w:rPr>
                <w:sz w:val="16"/>
              </w:rPr>
            </w:pPr>
            <w:r>
              <w:rPr>
                <w:sz w:val="16"/>
              </w:rPr>
              <w:t>Treasury stock, at cost; shares: 40,951,250 at June 30, 2026</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777"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862"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7"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89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3"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w:t>
            </w:r>
          </w:p>
        </w:tc>
        <w:tc>
          <w:tcPr>
            <w:tcW w:w="99" w:type="dxa"/>
            <w:tcBorders/>
            <w:shd w:fill="CCEEFF" w:val="clear"/>
            <w:vAlign w:val="center"/>
          </w:tcPr>
          <w:p>
            <w:pPr>
              <w:pStyle w:val="TableContents"/>
              <w:bidi w:val="0"/>
              <w:spacing w:before="0" w:after="283"/>
              <w:jc w:val="left"/>
              <w:rPr/>
            </w:pPr>
            <w:r>
              <w:rPr/>
              <w:t> </w:t>
            </w:r>
          </w:p>
        </w:tc>
      </w:tr>
      <w:tr>
        <w:trPr/>
        <w:tc>
          <w:tcPr>
            <w:tcW w:w="3683" w:type="dxa"/>
            <w:tcBorders/>
            <w:shd w:fill="FFFFFF" w:val="clear"/>
            <w:vAlign w:val="center"/>
          </w:tcPr>
          <w:p>
            <w:pPr>
              <w:pStyle w:val="TableContents"/>
              <w:bidi w:val="0"/>
              <w:spacing w:before="0" w:after="283"/>
              <w:jc w:val="left"/>
              <w:rPr>
                <w:sz w:val="16"/>
              </w:rPr>
            </w:pPr>
            <w:r>
              <w:rPr>
                <w:sz w:val="16"/>
              </w:rPr>
              <w:t>Additional paid-in capital</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sz w:val="16"/>
              </w:rPr>
            </w:pPr>
            <w:r>
              <w:rPr>
                <w:sz w:val="16"/>
              </w:rPr>
              <w:t>4,606,854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777" w:type="dxa"/>
            <w:tcBorders/>
            <w:shd w:fill="FFFFFF" w:val="clear"/>
            <w:vAlign w:val="center"/>
          </w:tcPr>
          <w:p>
            <w:pPr>
              <w:pStyle w:val="TableContents"/>
              <w:bidi w:val="0"/>
              <w:spacing w:before="0" w:after="283"/>
              <w:jc w:val="right"/>
              <w:rPr>
                <w:sz w:val="16"/>
              </w:rPr>
            </w:pPr>
            <w:r>
              <w:rPr>
                <w:sz w:val="16"/>
              </w:rPr>
              <w:t>864,367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sz w:val="16"/>
              </w:rPr>
            </w:pPr>
            <w:r>
              <w:rPr>
                <w:sz w:val="16"/>
              </w:rPr>
              <w:t>2,067,839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7" w:type="dxa"/>
            <w:tcBorders/>
            <w:shd w:fill="FFFFFF" w:val="clear"/>
            <w:vAlign w:val="center"/>
          </w:tcPr>
          <w:p>
            <w:pPr>
              <w:pStyle w:val="TableContents"/>
              <w:bidi w:val="0"/>
              <w:spacing w:before="0" w:after="283"/>
              <w:jc w:val="center"/>
              <w:rPr>
                <w:sz w:val="16"/>
              </w:rPr>
            </w:pPr>
            <w:r>
              <w:rPr>
                <w:sz w:val="16"/>
              </w:rPr>
              <w:t>(h)</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89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3"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sz w:val="16"/>
              </w:rPr>
            </w:pPr>
            <w:r>
              <w:rPr>
                <w:sz w:val="16"/>
              </w:rPr>
              <w:t>7,539,060</w:t>
            </w:r>
          </w:p>
        </w:tc>
        <w:tc>
          <w:tcPr>
            <w:tcW w:w="99" w:type="dxa"/>
            <w:tcBorders/>
            <w:shd w:fill="FFFFFF" w:val="clear"/>
            <w:vAlign w:val="center"/>
          </w:tcPr>
          <w:p>
            <w:pPr>
              <w:pStyle w:val="TableContents"/>
              <w:bidi w:val="0"/>
              <w:spacing w:before="0" w:after="283"/>
              <w:jc w:val="left"/>
              <w:rPr/>
            </w:pPr>
            <w:r>
              <w:rPr/>
              <w:t> </w:t>
            </w:r>
          </w:p>
        </w:tc>
      </w:tr>
      <w:tr>
        <w:trPr/>
        <w:tc>
          <w:tcPr>
            <w:tcW w:w="3683" w:type="dxa"/>
            <w:tcBorders/>
            <w:shd w:fill="CCEEFF" w:val="clear"/>
            <w:vAlign w:val="center"/>
          </w:tcPr>
          <w:p>
            <w:pPr>
              <w:pStyle w:val="TableContents"/>
              <w:bidi w:val="0"/>
              <w:spacing w:before="0" w:after="283"/>
              <w:jc w:val="left"/>
              <w:rPr>
                <w:sz w:val="16"/>
              </w:rPr>
            </w:pPr>
            <w:r>
              <w:rPr>
                <w:sz w:val="16"/>
              </w:rPr>
              <w:t>Accumulated deficit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sz w:val="16"/>
              </w:rPr>
            </w:pPr>
            <w:r>
              <w:rPr>
                <w:sz w:val="16"/>
              </w:rPr>
              <w:t>(1,106,190</w:t>
            </w:r>
          </w:p>
        </w:tc>
        <w:tc>
          <w:tcPr>
            <w:tcW w:w="80"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777" w:type="dxa"/>
            <w:tcBorders/>
            <w:shd w:fill="CCEEFF" w:val="clear"/>
            <w:vAlign w:val="center"/>
          </w:tcPr>
          <w:p>
            <w:pPr>
              <w:pStyle w:val="TableContents"/>
              <w:bidi w:val="0"/>
              <w:spacing w:before="0" w:after="283"/>
              <w:jc w:val="right"/>
              <w:rPr>
                <w:sz w:val="16"/>
              </w:rPr>
            </w:pPr>
            <w:r>
              <w:rPr>
                <w:sz w:val="16"/>
              </w:rPr>
              <w:t>(387,281</w:t>
            </w:r>
          </w:p>
        </w:tc>
        <w:tc>
          <w:tcPr>
            <w:tcW w:w="80"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862" w:type="dxa"/>
            <w:tcBorders/>
            <w:shd w:fill="CCEEFF" w:val="clear"/>
            <w:vAlign w:val="center"/>
          </w:tcPr>
          <w:p>
            <w:pPr>
              <w:pStyle w:val="TableContents"/>
              <w:bidi w:val="0"/>
              <w:spacing w:before="0" w:after="283"/>
              <w:jc w:val="right"/>
              <w:rPr>
                <w:sz w:val="16"/>
              </w:rPr>
            </w:pPr>
            <w:r>
              <w:rPr>
                <w:sz w:val="16"/>
              </w:rPr>
              <w:t>498,326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7" w:type="dxa"/>
            <w:tcBorders/>
            <w:shd w:fill="CCEEFF" w:val="clear"/>
            <w:vAlign w:val="center"/>
          </w:tcPr>
          <w:p>
            <w:pPr>
              <w:pStyle w:val="TableContents"/>
              <w:bidi w:val="0"/>
              <w:spacing w:before="0" w:after="283"/>
              <w:jc w:val="center"/>
              <w:rPr>
                <w:sz w:val="16"/>
              </w:rPr>
            </w:pPr>
            <w:r>
              <w:rPr>
                <w:sz w:val="16"/>
              </w:rPr>
              <w:t>(b)(h)</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89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3"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sz w:val="16"/>
              </w:rPr>
            </w:pPr>
            <w:r>
              <w:rPr>
                <w:sz w:val="16"/>
              </w:rPr>
              <w:t>(995,145</w:t>
            </w:r>
          </w:p>
        </w:tc>
        <w:tc>
          <w:tcPr>
            <w:tcW w:w="99" w:type="dxa"/>
            <w:tcBorders/>
            <w:shd w:fill="CCEEFF" w:val="clear"/>
            <w:vAlign w:val="center"/>
          </w:tcPr>
          <w:p>
            <w:pPr>
              <w:pStyle w:val="TableContents"/>
              <w:bidi w:val="0"/>
              <w:spacing w:before="0" w:after="283"/>
              <w:jc w:val="left"/>
              <w:rPr>
                <w:sz w:val="16"/>
              </w:rPr>
            </w:pPr>
            <w:r>
              <w:rPr>
                <w:sz w:val="16"/>
              </w:rPr>
              <w:t>)</w:t>
            </w:r>
          </w:p>
        </w:tc>
      </w:tr>
      <w:tr>
        <w:trPr/>
        <w:tc>
          <w:tcPr>
            <w:tcW w:w="3683" w:type="dxa"/>
            <w:tcBorders/>
            <w:shd w:fill="FFFFFF" w:val="clear"/>
            <w:vAlign w:val="center"/>
          </w:tcPr>
          <w:p>
            <w:pPr>
              <w:pStyle w:val="TableContents"/>
              <w:bidi w:val="0"/>
              <w:spacing w:before="0" w:after="283"/>
              <w:jc w:val="left"/>
              <w:rPr>
                <w:sz w:val="16"/>
              </w:rPr>
            </w:pPr>
            <w:r>
              <w:rPr>
                <w:sz w:val="16"/>
              </w:rPr>
              <w:t>Accumulated other comprehensive loss</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sz w:val="16"/>
              </w:rPr>
            </w:pPr>
            <w:r>
              <w:rPr>
                <w:sz w:val="16"/>
              </w:rPr>
              <w:t>(8,575</w:t>
            </w:r>
          </w:p>
        </w:tc>
        <w:tc>
          <w:tcPr>
            <w:tcW w:w="80" w:type="dxa"/>
            <w:tcBorders/>
            <w:shd w:fill="FFFFFF" w:val="clear"/>
            <w:vAlign w:val="center"/>
          </w:tcPr>
          <w:p>
            <w:pPr>
              <w:pStyle w:val="TableContents"/>
              <w:bidi w:val="0"/>
              <w:spacing w:before="0" w:after="283"/>
              <w:jc w:val="lef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12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77" w:type="dxa"/>
            <w:tcBorders>
              <w:bottom w:val="single" w:sz="8" w:space="0" w:color="000000"/>
            </w:tcBorders>
            <w:shd w:fill="FFFFFF" w:val="clear"/>
            <w:tcMar>
              <w:bottom w:w="28" w:type="dxa"/>
            </w:tcMar>
            <w:vAlign w:val="center"/>
          </w:tcPr>
          <w:p>
            <w:pPr>
              <w:pStyle w:val="TableContents"/>
              <w:bidi w:val="0"/>
              <w:spacing w:before="0" w:after="283"/>
              <w:jc w:val="right"/>
              <w:rPr>
                <w:sz w:val="16"/>
              </w:rPr>
            </w:pPr>
            <w:r>
              <w:rPr>
                <w:sz w:val="16"/>
              </w:rPr>
              <w:t>(4,681</w:t>
            </w:r>
          </w:p>
        </w:tc>
        <w:tc>
          <w:tcPr>
            <w:tcW w:w="80" w:type="dxa"/>
            <w:tcBorders/>
            <w:shd w:fill="FFFFFF" w:val="clear"/>
            <w:vAlign w:val="center"/>
          </w:tcPr>
          <w:p>
            <w:pPr>
              <w:pStyle w:val="TableContents"/>
              <w:bidi w:val="0"/>
              <w:spacing w:before="0" w:after="283"/>
              <w:jc w:val="lef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11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62" w:type="dxa"/>
            <w:tcBorders>
              <w:bottom w:val="single" w:sz="8" w:space="0" w:color="000000"/>
            </w:tcBorders>
            <w:shd w:fill="FFFFFF" w:val="clear"/>
            <w:tcMar>
              <w:bottom w:w="28" w:type="dxa"/>
            </w:tcMar>
            <w:vAlign w:val="center"/>
          </w:tcPr>
          <w:p>
            <w:pPr>
              <w:pStyle w:val="TableContents"/>
              <w:bidi w:val="0"/>
              <w:spacing w:before="0" w:after="283"/>
              <w:jc w:val="right"/>
              <w:rPr>
                <w:sz w:val="16"/>
              </w:rPr>
            </w:pPr>
            <w:r>
              <w:rPr>
                <w:sz w:val="16"/>
              </w:rPr>
              <w:t>4,681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7" w:type="dxa"/>
            <w:tcBorders/>
            <w:shd w:fill="FFFFFF" w:val="clear"/>
            <w:vAlign w:val="center"/>
          </w:tcPr>
          <w:p>
            <w:pPr>
              <w:pStyle w:val="TableContents"/>
              <w:bidi w:val="0"/>
              <w:spacing w:before="0" w:after="283"/>
              <w:jc w:val="center"/>
              <w:rPr>
                <w:sz w:val="16"/>
              </w:rPr>
            </w:pPr>
            <w:r>
              <w:rPr>
                <w:sz w:val="16"/>
              </w:rPr>
              <w:t>(h)</w:t>
            </w:r>
          </w:p>
        </w:tc>
        <w:tc>
          <w:tcPr>
            <w:tcW w:w="60" w:type="dxa"/>
            <w:tcBorders/>
            <w:shd w:fill="FFFFFF" w:val="clear"/>
            <w:vAlign w:val="center"/>
          </w:tcPr>
          <w:p>
            <w:pPr>
              <w:pStyle w:val="TableContents"/>
              <w:bidi w:val="0"/>
              <w:spacing w:before="0" w:after="283"/>
              <w:jc w:val="left"/>
              <w:rPr/>
            </w:pPr>
            <w:r>
              <w:rPr/>
              <w:t> </w:t>
            </w:r>
          </w:p>
        </w:tc>
        <w:tc>
          <w:tcPr>
            <w:tcW w:w="13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94"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3"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shd w:fill="FFFFFF" w:val="clear"/>
            <w:tcMar>
              <w:bottom w:w="28" w:type="dxa"/>
            </w:tcMar>
            <w:vAlign w:val="center"/>
          </w:tcPr>
          <w:p>
            <w:pPr>
              <w:pStyle w:val="TableContents"/>
              <w:bidi w:val="0"/>
              <w:spacing w:before="0" w:after="283"/>
              <w:jc w:val="right"/>
              <w:rPr>
                <w:sz w:val="16"/>
              </w:rPr>
            </w:pPr>
            <w:r>
              <w:rPr>
                <w:sz w:val="16"/>
              </w:rPr>
              <w:t>(8,575</w:t>
            </w:r>
          </w:p>
        </w:tc>
        <w:tc>
          <w:tcPr>
            <w:tcW w:w="99" w:type="dxa"/>
            <w:tcBorders/>
            <w:shd w:fill="FFFFFF" w:val="clear"/>
            <w:vAlign w:val="center"/>
          </w:tcPr>
          <w:p>
            <w:pPr>
              <w:pStyle w:val="TableContents"/>
              <w:bidi w:val="0"/>
              <w:spacing w:before="0" w:after="283"/>
              <w:jc w:val="left"/>
              <w:rPr>
                <w:sz w:val="16"/>
              </w:rPr>
            </w:pPr>
            <w:r>
              <w:rPr>
                <w:sz w:val="16"/>
              </w:rPr>
              <w:t>)</w:t>
            </w:r>
          </w:p>
        </w:tc>
      </w:tr>
      <w:tr>
        <w:trPr/>
        <w:tc>
          <w:tcPr>
            <w:tcW w:w="3683" w:type="dxa"/>
            <w:tcBorders/>
            <w:shd w:fill="CCEEFF" w:val="clear"/>
            <w:vAlign w:val="center"/>
          </w:tcPr>
          <w:p>
            <w:pPr>
              <w:pStyle w:val="TableContents"/>
              <w:bidi w:val="0"/>
              <w:spacing w:before="0" w:after="283"/>
              <w:jc w:val="left"/>
              <w:rPr>
                <w:sz w:val="16"/>
              </w:rPr>
            </w:pPr>
            <w:r>
              <w:rPr>
                <w:sz w:val="16"/>
              </w:rPr>
              <w:t>Total stockholders’ equity</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sz w:val="16"/>
              </w:rPr>
            </w:pPr>
            <w:r>
              <w:rPr>
                <w:sz w:val="16"/>
              </w:rPr>
              <w:t>3,492,153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77" w:type="dxa"/>
            <w:tcBorders>
              <w:bottom w:val="single" w:sz="8" w:space="0" w:color="000000"/>
            </w:tcBorders>
            <w:shd w:fill="CCEEFF" w:val="clear"/>
            <w:tcMar>
              <w:bottom w:w="28" w:type="dxa"/>
            </w:tcMar>
            <w:vAlign w:val="center"/>
          </w:tcPr>
          <w:p>
            <w:pPr>
              <w:pStyle w:val="TableContents"/>
              <w:bidi w:val="0"/>
              <w:spacing w:before="0" w:after="283"/>
              <w:jc w:val="right"/>
              <w:rPr>
                <w:sz w:val="16"/>
              </w:rPr>
            </w:pPr>
            <w:r>
              <w:rPr>
                <w:sz w:val="16"/>
              </w:rPr>
              <w:t>472,511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62" w:type="dxa"/>
            <w:tcBorders>
              <w:bottom w:val="single" w:sz="8" w:space="0" w:color="000000"/>
            </w:tcBorders>
            <w:shd w:fill="CCEEFF" w:val="clear"/>
            <w:tcMar>
              <w:bottom w:w="28" w:type="dxa"/>
            </w:tcMar>
            <w:vAlign w:val="center"/>
          </w:tcPr>
          <w:p>
            <w:pPr>
              <w:pStyle w:val="TableContents"/>
              <w:bidi w:val="0"/>
              <w:spacing w:before="0" w:after="283"/>
              <w:jc w:val="right"/>
              <w:rPr>
                <w:sz w:val="16"/>
              </w:rPr>
            </w:pPr>
            <w:r>
              <w:rPr>
                <w:sz w:val="16"/>
              </w:rPr>
              <w:t>2,574,866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7"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94"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3"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shd w:fill="CCEEFF" w:val="clear"/>
            <w:tcMar>
              <w:bottom w:w="28" w:type="dxa"/>
            </w:tcMar>
            <w:vAlign w:val="center"/>
          </w:tcPr>
          <w:p>
            <w:pPr>
              <w:pStyle w:val="TableContents"/>
              <w:bidi w:val="0"/>
              <w:spacing w:before="0" w:after="283"/>
              <w:jc w:val="right"/>
              <w:rPr>
                <w:sz w:val="16"/>
              </w:rPr>
            </w:pPr>
            <w:r>
              <w:rPr>
                <w:sz w:val="16"/>
              </w:rPr>
              <w:t>6,539,530</w:t>
            </w:r>
          </w:p>
        </w:tc>
        <w:tc>
          <w:tcPr>
            <w:tcW w:w="99" w:type="dxa"/>
            <w:tcBorders/>
            <w:shd w:fill="CCEEFF" w:val="clear"/>
            <w:vAlign w:val="center"/>
          </w:tcPr>
          <w:p>
            <w:pPr>
              <w:pStyle w:val="TableContents"/>
              <w:bidi w:val="0"/>
              <w:spacing w:before="0" w:after="283"/>
              <w:jc w:val="left"/>
              <w:rPr/>
            </w:pPr>
            <w:r>
              <w:rPr/>
              <w:t> </w:t>
            </w:r>
          </w:p>
        </w:tc>
      </w:tr>
      <w:tr>
        <w:trPr/>
        <w:tc>
          <w:tcPr>
            <w:tcW w:w="3683" w:type="dxa"/>
            <w:tcBorders/>
            <w:shd w:fill="FFFFFF" w:val="clear"/>
            <w:vAlign w:val="center"/>
          </w:tcPr>
          <w:p>
            <w:pPr>
              <w:pStyle w:val="TableContents"/>
              <w:bidi w:val="0"/>
              <w:spacing w:before="0" w:after="283"/>
              <w:jc w:val="left"/>
              <w:rPr>
                <w:sz w:val="16"/>
              </w:rPr>
            </w:pPr>
            <w:r>
              <w:rPr>
                <w:sz w:val="16"/>
              </w:rPr>
              <w:t>Total liabilities and stockholders’ equity</w:t>
            </w:r>
          </w:p>
        </w:tc>
        <w:tc>
          <w:tcPr>
            <w:tcW w:w="60" w:type="dxa"/>
            <w:tcBorders/>
            <w:shd w:fill="FFFFFF" w:val="clear"/>
            <w:vAlign w:val="center"/>
          </w:tcPr>
          <w:p>
            <w:pPr>
              <w:pStyle w:val="TableContents"/>
              <w:bidi w:val="0"/>
              <w:spacing w:before="0" w:after="283"/>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jc w:val="left"/>
              <w:rPr>
                <w:sz w:val="16"/>
              </w:rPr>
            </w:pPr>
            <w:r>
              <w:rPr>
                <w:sz w:val="16"/>
              </w:rPr>
              <w:t>$</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sz w:val="16"/>
              </w:rPr>
            </w:pPr>
            <w:r>
              <w:rPr>
                <w:sz w:val="16"/>
              </w:rPr>
              <w:t>4,187,374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 w:type="dxa"/>
            <w:tcBorders>
              <w:bottom w:val="double" w:sz="6" w:space="0" w:color="000000"/>
            </w:tcBorders>
            <w:shd w:fill="FFFFFF" w:val="clear"/>
            <w:tcMar>
              <w:bottom w:w="28" w:type="dxa"/>
            </w:tcMar>
            <w:vAlign w:val="center"/>
          </w:tcPr>
          <w:p>
            <w:pPr>
              <w:pStyle w:val="TableContents"/>
              <w:bidi w:val="0"/>
              <w:spacing w:before="0" w:after="283"/>
              <w:jc w:val="left"/>
              <w:rPr>
                <w:sz w:val="16"/>
              </w:rPr>
            </w:pPr>
            <w:r>
              <w:rPr>
                <w:sz w:val="16"/>
              </w:rPr>
              <w:t>$</w:t>
            </w:r>
          </w:p>
        </w:tc>
        <w:tc>
          <w:tcPr>
            <w:tcW w:w="777" w:type="dxa"/>
            <w:tcBorders>
              <w:bottom w:val="double" w:sz="6" w:space="0" w:color="000000"/>
            </w:tcBorders>
            <w:shd w:fill="FFFFFF" w:val="clear"/>
            <w:tcMar>
              <w:bottom w:w="28" w:type="dxa"/>
            </w:tcMar>
            <w:vAlign w:val="center"/>
          </w:tcPr>
          <w:p>
            <w:pPr>
              <w:pStyle w:val="TableContents"/>
              <w:bidi w:val="0"/>
              <w:spacing w:before="0" w:after="283"/>
              <w:jc w:val="right"/>
              <w:rPr>
                <w:sz w:val="16"/>
              </w:rPr>
            </w:pPr>
            <w:r>
              <w:rPr>
                <w:sz w:val="16"/>
              </w:rPr>
              <w:t>2,565,093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 w:type="dxa"/>
            <w:tcBorders>
              <w:bottom w:val="double" w:sz="6" w:space="0" w:color="000000"/>
            </w:tcBorders>
            <w:shd w:fill="FFFFFF" w:val="clear"/>
            <w:tcMar>
              <w:bottom w:w="28" w:type="dxa"/>
            </w:tcMar>
            <w:vAlign w:val="center"/>
          </w:tcPr>
          <w:p>
            <w:pPr>
              <w:pStyle w:val="TableContents"/>
              <w:bidi w:val="0"/>
              <w:spacing w:before="0" w:after="283"/>
              <w:jc w:val="left"/>
              <w:rPr>
                <w:sz w:val="16"/>
              </w:rPr>
            </w:pPr>
            <w:r>
              <w:rPr>
                <w:sz w:val="16"/>
              </w:rPr>
              <w:t>$</w:t>
            </w:r>
          </w:p>
        </w:tc>
        <w:tc>
          <w:tcPr>
            <w:tcW w:w="862" w:type="dxa"/>
            <w:tcBorders>
              <w:bottom w:val="double" w:sz="6" w:space="0" w:color="000000"/>
            </w:tcBorders>
            <w:shd w:fill="FFFFFF" w:val="clear"/>
            <w:tcMar>
              <w:bottom w:w="28" w:type="dxa"/>
            </w:tcMar>
            <w:vAlign w:val="center"/>
          </w:tcPr>
          <w:p>
            <w:pPr>
              <w:pStyle w:val="TableContents"/>
              <w:bidi w:val="0"/>
              <w:spacing w:before="0" w:after="283"/>
              <w:jc w:val="right"/>
              <w:rPr>
                <w:sz w:val="16"/>
              </w:rPr>
            </w:pPr>
            <w:r>
              <w:rPr>
                <w:sz w:val="16"/>
              </w:rPr>
              <w:t>1,456,247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7"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bottom w:val="double" w:sz="6" w:space="0" w:color="000000"/>
            </w:tcBorders>
            <w:shd w:fill="FFFFFF" w:val="clear"/>
            <w:tcMar>
              <w:bottom w:w="28" w:type="dxa"/>
            </w:tcMar>
            <w:vAlign w:val="center"/>
          </w:tcPr>
          <w:p>
            <w:pPr>
              <w:pStyle w:val="TableContents"/>
              <w:bidi w:val="0"/>
              <w:spacing w:before="0" w:after="283"/>
              <w:jc w:val="left"/>
              <w:rPr>
                <w:sz w:val="16"/>
              </w:rPr>
            </w:pPr>
            <w:r>
              <w:rPr>
                <w:sz w:val="16"/>
              </w:rPr>
              <w:t>$</w:t>
            </w:r>
          </w:p>
        </w:tc>
        <w:tc>
          <w:tcPr>
            <w:tcW w:w="894" w:type="dxa"/>
            <w:tcBorders>
              <w:bottom w:val="double" w:sz="6" w:space="0" w:color="000000"/>
            </w:tcBorders>
            <w:shd w:fill="FFFFFF" w:val="clear"/>
            <w:tcMar>
              <w:bottom w:w="28" w:type="dxa"/>
            </w:tcMar>
            <w:vAlign w:val="center"/>
          </w:tcPr>
          <w:p>
            <w:pPr>
              <w:pStyle w:val="TableContents"/>
              <w:bidi w:val="0"/>
              <w:spacing w:before="0" w:after="283"/>
              <w:jc w:val="right"/>
              <w:rPr>
                <w:sz w:val="16"/>
              </w:rPr>
            </w:pPr>
            <w:r>
              <w:rPr>
                <w:sz w:val="16"/>
              </w:rPr>
              <w:t>3,574,340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3"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jc w:val="left"/>
              <w:rPr>
                <w:sz w:val="16"/>
              </w:rPr>
            </w:pPr>
            <w:r>
              <w:rPr>
                <w:sz w:val="16"/>
              </w:rPr>
              <w:t>$</w:t>
            </w:r>
          </w:p>
        </w:tc>
        <w:tc>
          <w:tcPr>
            <w:tcW w:w="830" w:type="dxa"/>
            <w:tcBorders>
              <w:bottom w:val="double" w:sz="6" w:space="0" w:color="000000"/>
            </w:tcBorders>
            <w:shd w:fill="FFFFFF" w:val="clear"/>
            <w:tcMar>
              <w:bottom w:w="28" w:type="dxa"/>
            </w:tcMar>
            <w:vAlign w:val="center"/>
          </w:tcPr>
          <w:p>
            <w:pPr>
              <w:pStyle w:val="TableContents"/>
              <w:bidi w:val="0"/>
              <w:spacing w:before="0" w:after="283"/>
              <w:jc w:val="right"/>
              <w:rPr>
                <w:sz w:val="16"/>
              </w:rPr>
            </w:pPr>
            <w:r>
              <w:rPr>
                <w:sz w:val="16"/>
              </w:rPr>
              <w:t>11,783,054</w:t>
            </w:r>
          </w:p>
        </w:tc>
        <w:tc>
          <w:tcPr>
            <w:tcW w:w="99" w:type="dxa"/>
            <w:tcBorders/>
            <w:shd w:fill="FFFFFF" w:val="clear"/>
            <w:vAlign w:val="center"/>
          </w:tcPr>
          <w:p>
            <w:pPr>
              <w:pStyle w:val="TableContents"/>
              <w:bidi w:val="0"/>
              <w:spacing w:before="0" w:after="283"/>
              <w:jc w:val="left"/>
              <w:rPr/>
            </w:pPr>
            <w:r>
              <w:rPr/>
              <w:t> </w:t>
            </w:r>
          </w:p>
        </w:tc>
      </w:tr>
    </w:tbl>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pro forma condensed consolidated financial statements.</w:t>
      </w:r>
    </w:p>
    <w:p>
      <w:pPr>
        <w:pStyle w:val="TextBody"/>
        <w:bidi w:val="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PRO FORMA CONDENSED COMBINED STATEMENT OF OPERATIONS</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SIX MONTHS ENDED JUNE 30, 2026</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per share data)</w:t>
      </w:r>
    </w:p>
    <w:p>
      <w:pPr>
        <w:pStyle w:val="TextBody"/>
        <w:bidi w:val="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267"/>
        <w:gridCol w:w="60"/>
        <w:gridCol w:w="122"/>
        <w:gridCol w:w="736"/>
        <w:gridCol w:w="80"/>
        <w:gridCol w:w="60"/>
        <w:gridCol w:w="156"/>
        <w:gridCol w:w="866"/>
        <w:gridCol w:w="80"/>
        <w:gridCol w:w="60"/>
        <w:gridCol w:w="168"/>
        <w:gridCol w:w="899"/>
        <w:gridCol w:w="80"/>
        <w:gridCol w:w="60"/>
        <w:gridCol w:w="619"/>
        <w:gridCol w:w="60"/>
        <w:gridCol w:w="145"/>
        <w:gridCol w:w="880"/>
        <w:gridCol w:w="80"/>
        <w:gridCol w:w="60"/>
        <w:gridCol w:w="619"/>
        <w:gridCol w:w="60"/>
        <w:gridCol w:w="125"/>
        <w:gridCol w:w="762"/>
        <w:gridCol w:w="101"/>
      </w:tblGrid>
      <w:tr>
        <w:trPr/>
        <w:tc>
          <w:tcPr>
            <w:tcW w:w="326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8"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2" w:type="dxa"/>
            <w:gridSpan w:val="2"/>
            <w:tcBorders/>
            <w:vAlign w:val="center"/>
          </w:tcPr>
          <w:p>
            <w:pPr>
              <w:pStyle w:val="TableContents"/>
              <w:bidi w:val="0"/>
              <w:spacing w:before="0" w:after="283"/>
              <w:jc w:val="center"/>
              <w:rPr>
                <w:b/>
                <w:sz w:val="16"/>
              </w:rPr>
            </w:pPr>
            <w:r>
              <w:rPr>
                <w:b/>
                <w:sz w:val="16"/>
              </w:rPr>
              <w:t>Iridium</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7" w:type="dxa"/>
            <w:gridSpan w:val="2"/>
            <w:tcBorders/>
            <w:vAlign w:val="center"/>
          </w:tcPr>
          <w:p>
            <w:pPr>
              <w:pStyle w:val="TableContents"/>
              <w:bidi w:val="0"/>
              <w:spacing w:before="0" w:after="283"/>
              <w:jc w:val="center"/>
              <w:rPr>
                <w:b/>
                <w:sz w:val="16"/>
              </w:rPr>
            </w:pPr>
            <w:r>
              <w:rPr>
                <w:b/>
                <w:sz w:val="16"/>
              </w:rPr>
              <w:t>Transaction</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25" w:type="dxa"/>
            <w:gridSpan w:val="2"/>
            <w:tcBorders/>
            <w:vAlign w:val="center"/>
          </w:tcPr>
          <w:p>
            <w:pPr>
              <w:pStyle w:val="TableContents"/>
              <w:bidi w:val="0"/>
              <w:spacing w:before="0" w:after="283"/>
              <w:jc w:val="center"/>
              <w:rPr>
                <w:b/>
                <w:sz w:val="16"/>
              </w:rPr>
            </w:pPr>
            <w:r>
              <w:rPr>
                <w:b/>
                <w:sz w:val="16"/>
              </w:rPr>
              <w:t>Transaction</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87" w:type="dxa"/>
            <w:gridSpan w:val="2"/>
            <w:tcBorders/>
            <w:vAlign w:val="center"/>
          </w:tcPr>
          <w:p>
            <w:pPr>
              <w:pStyle w:val="TableContents"/>
              <w:bidi w:val="0"/>
              <w:spacing w:before="0" w:after="283"/>
              <w:jc w:val="center"/>
              <w:rPr/>
            </w:pPr>
            <w:r>
              <w:rPr/>
              <w:t> </w:t>
            </w:r>
          </w:p>
        </w:tc>
        <w:tc>
          <w:tcPr>
            <w:tcW w:w="101" w:type="dxa"/>
            <w:tcBorders/>
            <w:vAlign w:val="center"/>
          </w:tcPr>
          <w:p>
            <w:pPr>
              <w:pStyle w:val="TableContents"/>
              <w:bidi w:val="0"/>
              <w:spacing w:before="0" w:after="283"/>
              <w:jc w:val="left"/>
              <w:rPr/>
            </w:pPr>
            <w:r>
              <w:rPr/>
              <w:t> </w:t>
            </w:r>
          </w:p>
        </w:tc>
      </w:tr>
      <w:tr>
        <w:trPr/>
        <w:tc>
          <w:tcPr>
            <w:tcW w:w="326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8" w:type="dxa"/>
            <w:gridSpan w:val="2"/>
            <w:tcBorders/>
            <w:vAlign w:val="center"/>
          </w:tcPr>
          <w:p>
            <w:pPr>
              <w:pStyle w:val="TableContents"/>
              <w:bidi w:val="0"/>
              <w:spacing w:before="0" w:after="283"/>
              <w:jc w:val="center"/>
              <w:rPr>
                <w:b/>
                <w:sz w:val="16"/>
              </w:rPr>
            </w:pPr>
            <w:r>
              <w:rPr>
                <w:b/>
                <w:sz w:val="16"/>
              </w:rPr>
              <w:t>Rocket Lab</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2" w:type="dxa"/>
            <w:gridSpan w:val="2"/>
            <w:tcBorders/>
            <w:vAlign w:val="center"/>
          </w:tcPr>
          <w:p>
            <w:pPr>
              <w:pStyle w:val="TableContents"/>
              <w:bidi w:val="0"/>
              <w:spacing w:before="0" w:after="283"/>
              <w:jc w:val="center"/>
              <w:rPr>
                <w:sz w:val="16"/>
              </w:rPr>
            </w:pPr>
            <w:r>
              <w:rPr>
                <w:b/>
                <w:sz w:val="16"/>
              </w:rPr>
              <w:t>Historical, as</w:t>
            </w:r>
            <w:r>
              <w:rPr>
                <w:sz w:val="16"/>
              </w:rPr>
              <w:t xml:space="preserve"> </w:t>
              <w:br/>
            </w:r>
            <w:r>
              <w:rPr>
                <w:b/>
                <w:sz w:val="16"/>
              </w:rPr>
              <w:t>Reclassified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7" w:type="dxa"/>
            <w:gridSpan w:val="2"/>
            <w:tcBorders/>
            <w:vAlign w:val="center"/>
          </w:tcPr>
          <w:p>
            <w:pPr>
              <w:pStyle w:val="TableContents"/>
              <w:bidi w:val="0"/>
              <w:spacing w:before="0" w:after="283"/>
              <w:jc w:val="center"/>
              <w:rPr>
                <w:b/>
                <w:sz w:val="16"/>
              </w:rPr>
            </w:pPr>
            <w:r>
              <w:rPr>
                <w:b/>
                <w:sz w:val="16"/>
              </w:rPr>
              <w:t xml:space="preserve">Accounting </w:t>
              <w:br/>
              <w:t xml:space="preserve">Adjustments -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25" w:type="dxa"/>
            <w:gridSpan w:val="2"/>
            <w:tcBorders/>
            <w:vAlign w:val="center"/>
          </w:tcPr>
          <w:p>
            <w:pPr>
              <w:pStyle w:val="TableContents"/>
              <w:bidi w:val="0"/>
              <w:spacing w:before="0" w:after="283"/>
              <w:jc w:val="center"/>
              <w:rPr>
                <w:sz w:val="16"/>
              </w:rPr>
            </w:pPr>
            <w:r>
              <w:rPr>
                <w:b/>
                <w:sz w:val="16"/>
              </w:rPr>
              <w:t>Accounting</w:t>
            </w:r>
            <w:r>
              <w:rPr>
                <w:sz w:val="16"/>
              </w:rPr>
              <w:t xml:space="preserve"> </w:t>
              <w:br/>
            </w:r>
            <w:r>
              <w:rPr>
                <w:b/>
                <w:sz w:val="16"/>
              </w:rPr>
              <w:t>Adjustments </w:t>
            </w:r>
            <w:r>
              <w:rPr>
                <w:sz w:val="16"/>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87" w:type="dxa"/>
            <w:gridSpan w:val="2"/>
            <w:tcBorders/>
            <w:vAlign w:val="center"/>
          </w:tcPr>
          <w:p>
            <w:pPr>
              <w:pStyle w:val="TableContents"/>
              <w:bidi w:val="0"/>
              <w:spacing w:before="0" w:after="283"/>
              <w:jc w:val="center"/>
              <w:rPr/>
            </w:pPr>
            <w:r>
              <w:rPr/>
              <w:t> </w:t>
            </w:r>
            <w:r>
              <w:rPr>
                <w:b/>
                <w:sz w:val="16"/>
              </w:rPr>
              <w:t>Pro Forma</w:t>
            </w:r>
          </w:p>
        </w:tc>
        <w:tc>
          <w:tcPr>
            <w:tcW w:w="101" w:type="dxa"/>
            <w:tcBorders/>
            <w:vAlign w:val="center"/>
          </w:tcPr>
          <w:p>
            <w:pPr>
              <w:pStyle w:val="TableContents"/>
              <w:bidi w:val="0"/>
              <w:spacing w:before="0" w:after="283"/>
              <w:jc w:val="left"/>
              <w:rPr/>
            </w:pPr>
            <w:r>
              <w:rPr/>
              <w:t> </w:t>
            </w:r>
          </w:p>
        </w:tc>
      </w:tr>
      <w:tr>
        <w:trPr/>
        <w:tc>
          <w:tcPr>
            <w:tcW w:w="326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8"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(Historical)</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2" w:type="dxa"/>
            <w:gridSpan w:val="2"/>
            <w:tcBorders>
              <w:bottom w:val="single" w:sz="8" w:space="0" w:color="000000"/>
            </w:tcBorders>
            <w:tcMar>
              <w:bottom w:w="28" w:type="dxa"/>
            </w:tcMar>
            <w:vAlign w:val="center"/>
          </w:tcPr>
          <w:p>
            <w:pPr>
              <w:pStyle w:val="TableContents"/>
              <w:bidi w:val="0"/>
              <w:spacing w:before="0" w:after="283"/>
              <w:jc w:val="center"/>
              <w:rPr>
                <w:caps w:val="false"/>
                <w:smallCaps w:val="false"/>
              </w:rPr>
            </w:pPr>
            <w:r>
              <w:rPr>
                <w:caps w:val="false"/>
                <w:smallCaps w:val="false"/>
              </w:rPr>
              <w:t> </w:t>
            </w:r>
            <w:r>
              <w:rPr>
                <w:rFonts w:ascii="Times New Roman;Times;Serif" w:hAnsi="Times New Roman;Times;Serif"/>
                <w:b/>
                <w:i w:val="false"/>
                <w:caps w:val="false"/>
                <w:smallCaps w:val="false"/>
                <w:sz w:val="16"/>
              </w:rPr>
              <w:t>(Note 3)</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Purchase</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9" w:type="dxa"/>
            <w:tcBorders>
              <w:bottom w:val="single" w:sz="8" w:space="0" w:color="000000"/>
            </w:tcBorders>
            <w:tcMar>
              <w:bottom w:w="28" w:type="dxa"/>
            </w:tcMar>
            <w:vAlign w:val="center"/>
          </w:tcPr>
          <w:p>
            <w:pPr>
              <w:pStyle w:val="TableContents"/>
              <w:bidi w:val="0"/>
              <w:spacing w:before="0" w:after="283"/>
              <w:jc w:val="center"/>
              <w:rPr>
                <w:b/>
                <w:sz w:val="16"/>
              </w:rPr>
            </w:pPr>
            <w:r>
              <w:rPr>
                <w:b/>
                <w:sz w:val="16"/>
              </w:rPr>
              <w:t>(Note 5)</w:t>
            </w:r>
          </w:p>
        </w:tc>
        <w:tc>
          <w:tcPr>
            <w:tcW w:w="60" w:type="dxa"/>
            <w:tcBorders/>
            <w:vAlign w:val="center"/>
          </w:tcPr>
          <w:p>
            <w:pPr>
              <w:pStyle w:val="TableContents"/>
              <w:bidi w:val="0"/>
              <w:spacing w:before="0" w:after="283"/>
              <w:jc w:val="left"/>
              <w:rPr/>
            </w:pPr>
            <w:r>
              <w:rPr/>
              <w:t> </w:t>
            </w:r>
          </w:p>
        </w:tc>
        <w:tc>
          <w:tcPr>
            <w:tcW w:w="1025" w:type="dxa"/>
            <w:gridSpan w:val="2"/>
            <w:tcBorders>
              <w:bottom w:val="single" w:sz="8" w:space="0" w:color="000000"/>
            </w:tcBorders>
            <w:tcMar>
              <w:bottom w:w="28" w:type="dxa"/>
            </w:tcMar>
            <w:vAlign w:val="center"/>
          </w:tcPr>
          <w:p>
            <w:pPr>
              <w:pStyle w:val="TableContents"/>
              <w:bidi w:val="0"/>
              <w:spacing w:before="0" w:after="283"/>
              <w:jc w:val="center"/>
              <w:rPr>
                <w:caps w:val="false"/>
                <w:smallCaps w:val="false"/>
              </w:rPr>
            </w:pPr>
            <w:r>
              <w:rPr>
                <w:caps w:val="false"/>
                <w:smallCaps w:val="false"/>
              </w:rPr>
              <w:t> </w:t>
            </w:r>
            <w:r>
              <w:rPr>
                <w:rFonts w:ascii="Times New Roman;Times;Serif" w:hAnsi="Times New Roman;Times;Serif"/>
                <w:b/>
                <w:i w:val="false"/>
                <w:caps w:val="false"/>
                <w:smallCaps w:val="false"/>
                <w:sz w:val="16"/>
              </w:rPr>
              <w:t>Financing</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9" w:type="dxa"/>
            <w:tcBorders>
              <w:bottom w:val="single" w:sz="8" w:space="0" w:color="000000"/>
            </w:tcBorders>
            <w:tcMar>
              <w:bottom w:w="28" w:type="dxa"/>
            </w:tcMar>
            <w:vAlign w:val="center"/>
          </w:tcPr>
          <w:p>
            <w:pPr>
              <w:pStyle w:val="TableContents"/>
              <w:bidi w:val="0"/>
              <w:spacing w:before="0" w:after="283"/>
              <w:jc w:val="center"/>
              <w:rPr>
                <w:b/>
                <w:sz w:val="16"/>
              </w:rPr>
            </w:pPr>
            <w:r>
              <w:rPr>
                <w:b/>
                <w:sz w:val="16"/>
              </w:rPr>
              <w:t>(Note 6)</w:t>
            </w:r>
          </w:p>
        </w:tc>
        <w:tc>
          <w:tcPr>
            <w:tcW w:w="60" w:type="dxa"/>
            <w:tcBorders/>
            <w:vAlign w:val="center"/>
          </w:tcPr>
          <w:p>
            <w:pPr>
              <w:pStyle w:val="TableContents"/>
              <w:bidi w:val="0"/>
              <w:spacing w:before="0" w:after="283"/>
              <w:jc w:val="left"/>
              <w:rPr/>
            </w:pPr>
            <w:r>
              <w:rPr/>
              <w:t> </w:t>
            </w:r>
          </w:p>
        </w:tc>
        <w:tc>
          <w:tcPr>
            <w:tcW w:w="88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Combined</w:t>
            </w:r>
          </w:p>
        </w:tc>
        <w:tc>
          <w:tcPr>
            <w:tcW w:w="101" w:type="dxa"/>
            <w:tcBorders/>
            <w:vAlign w:val="center"/>
          </w:tcPr>
          <w:p>
            <w:pPr>
              <w:pStyle w:val="TableContents"/>
              <w:bidi w:val="0"/>
              <w:spacing w:before="0" w:after="283"/>
              <w:jc w:val="left"/>
              <w:rPr/>
            </w:pPr>
            <w:r>
              <w:rPr/>
              <w:t> </w:t>
            </w:r>
          </w:p>
        </w:tc>
      </w:tr>
      <w:tr>
        <w:trPr/>
        <w:tc>
          <w:tcPr>
            <w:tcW w:w="3267" w:type="dxa"/>
            <w:tcBorders/>
            <w:shd w:fill="CCEEFF" w:val="clear"/>
            <w:vAlign w:val="center"/>
          </w:tcPr>
          <w:p>
            <w:pPr>
              <w:pStyle w:val="TableContents"/>
              <w:bidi w:val="0"/>
              <w:spacing w:before="0" w:after="283"/>
              <w:jc w:val="left"/>
              <w:rPr>
                <w:sz w:val="16"/>
              </w:rPr>
            </w:pPr>
            <w:r>
              <w:rPr>
                <w:sz w:val="16"/>
              </w:rPr>
              <w:t>Revenues:</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736"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866"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89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9"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88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9"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62" w:type="dxa"/>
            <w:tcBorders/>
            <w:shd w:fill="CCEEFF" w:val="clear"/>
            <w:vAlign w:val="center"/>
          </w:tcPr>
          <w:p>
            <w:pPr>
              <w:pStyle w:val="TableContents"/>
              <w:bidi w:val="0"/>
              <w:spacing w:before="0" w:after="283"/>
              <w:jc w:val="right"/>
              <w:rPr/>
            </w:pPr>
            <w:r>
              <w:rPr/>
              <w:t> </w:t>
            </w:r>
          </w:p>
        </w:tc>
        <w:tc>
          <w:tcPr>
            <w:tcW w:w="101" w:type="dxa"/>
            <w:tcBorders/>
            <w:shd w:fill="CCEEFF" w:val="clear"/>
            <w:vAlign w:val="center"/>
          </w:tcPr>
          <w:p>
            <w:pPr>
              <w:pStyle w:val="TableContents"/>
              <w:bidi w:val="0"/>
              <w:spacing w:before="0" w:after="283"/>
              <w:jc w:val="left"/>
              <w:rPr/>
            </w:pPr>
            <w:r>
              <w:rPr/>
              <w:t> </w:t>
            </w:r>
          </w:p>
        </w:tc>
      </w:tr>
      <w:tr>
        <w:trPr/>
        <w:tc>
          <w:tcPr>
            <w:tcW w:w="3267" w:type="dxa"/>
            <w:tcBorders/>
            <w:shd w:fill="FFFFFF" w:val="clear"/>
            <w:vAlign w:val="center"/>
          </w:tcPr>
          <w:p>
            <w:pPr>
              <w:pStyle w:val="TableContents"/>
              <w:bidi w:val="0"/>
              <w:spacing w:before="0" w:after="283"/>
              <w:jc w:val="left"/>
              <w:rPr>
                <w:sz w:val="16"/>
              </w:rPr>
            </w:pPr>
            <w:r>
              <w:rPr>
                <w:sz w:val="16"/>
              </w:rPr>
              <w:t>Product revenues</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sz w:val="16"/>
              </w:rPr>
            </w:pPr>
            <w:r>
              <w:rPr>
                <w:sz w:val="16"/>
              </w:rPr>
              <w:t>$</w:t>
            </w:r>
          </w:p>
        </w:tc>
        <w:tc>
          <w:tcPr>
            <w:tcW w:w="736" w:type="dxa"/>
            <w:tcBorders/>
            <w:shd w:fill="FFFFFF" w:val="clear"/>
            <w:vAlign w:val="center"/>
          </w:tcPr>
          <w:p>
            <w:pPr>
              <w:pStyle w:val="TableContents"/>
              <w:bidi w:val="0"/>
              <w:spacing w:before="0" w:after="283"/>
              <w:jc w:val="right"/>
              <w:rPr>
                <w:sz w:val="16"/>
              </w:rPr>
            </w:pPr>
            <w:r>
              <w:rPr>
                <w:sz w:val="16"/>
              </w:rPr>
              <w:t>308,835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sz w:val="16"/>
              </w:rPr>
            </w:pPr>
            <w:r>
              <w:rPr>
                <w:sz w:val="16"/>
              </w:rPr>
              <w:t>$</w:t>
            </w:r>
          </w:p>
        </w:tc>
        <w:tc>
          <w:tcPr>
            <w:tcW w:w="866" w:type="dxa"/>
            <w:tcBorders/>
            <w:shd w:fill="FFFFFF" w:val="clear"/>
            <w:vAlign w:val="center"/>
          </w:tcPr>
          <w:p>
            <w:pPr>
              <w:pStyle w:val="TableContents"/>
              <w:bidi w:val="0"/>
              <w:spacing w:before="0" w:after="283"/>
              <w:jc w:val="right"/>
              <w:rPr>
                <w:sz w:val="16"/>
              </w:rPr>
            </w:pPr>
            <w:r>
              <w:rPr>
                <w:sz w:val="16"/>
              </w:rPr>
              <w:t>40,986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sz w:val="16"/>
              </w:rPr>
            </w:pPr>
            <w:r>
              <w:rPr>
                <w:sz w:val="16"/>
              </w:rPr>
              <w:t>$</w:t>
            </w:r>
          </w:p>
        </w:tc>
        <w:tc>
          <w:tcPr>
            <w:tcW w:w="899"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9"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sz w:val="16"/>
              </w:rPr>
            </w:pPr>
            <w:r>
              <w:rPr>
                <w:sz w:val="16"/>
              </w:rPr>
              <w:t>$</w:t>
            </w:r>
          </w:p>
        </w:tc>
        <w:tc>
          <w:tcPr>
            <w:tcW w:w="88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9"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sz w:val="16"/>
              </w:rPr>
            </w:pPr>
            <w:r>
              <w:rPr>
                <w:sz w:val="16"/>
              </w:rPr>
              <w:t>$</w:t>
            </w:r>
          </w:p>
        </w:tc>
        <w:tc>
          <w:tcPr>
            <w:tcW w:w="762" w:type="dxa"/>
            <w:tcBorders/>
            <w:shd w:fill="FFFFFF" w:val="clear"/>
            <w:vAlign w:val="center"/>
          </w:tcPr>
          <w:p>
            <w:pPr>
              <w:pStyle w:val="TableContents"/>
              <w:bidi w:val="0"/>
              <w:spacing w:before="0" w:after="283"/>
              <w:jc w:val="right"/>
              <w:rPr>
                <w:sz w:val="16"/>
              </w:rPr>
            </w:pPr>
            <w:r>
              <w:rPr>
                <w:sz w:val="16"/>
              </w:rPr>
              <w:t>349,821</w:t>
            </w:r>
          </w:p>
        </w:tc>
        <w:tc>
          <w:tcPr>
            <w:tcW w:w="101" w:type="dxa"/>
            <w:tcBorders/>
            <w:shd w:fill="FFFFFF" w:val="clear"/>
            <w:vAlign w:val="center"/>
          </w:tcPr>
          <w:p>
            <w:pPr>
              <w:pStyle w:val="TableContents"/>
              <w:bidi w:val="0"/>
              <w:spacing w:before="0" w:after="283"/>
              <w:jc w:val="left"/>
              <w:rPr/>
            </w:pPr>
            <w:r>
              <w:rPr/>
              <w:t> </w:t>
            </w:r>
          </w:p>
        </w:tc>
      </w:tr>
      <w:tr>
        <w:trPr/>
        <w:tc>
          <w:tcPr>
            <w:tcW w:w="3267" w:type="dxa"/>
            <w:tcBorders/>
            <w:shd w:fill="CCEEFF" w:val="clear"/>
            <w:vAlign w:val="center"/>
          </w:tcPr>
          <w:p>
            <w:pPr>
              <w:pStyle w:val="TableContents"/>
              <w:bidi w:val="0"/>
              <w:spacing w:before="0" w:after="283"/>
              <w:jc w:val="left"/>
              <w:rPr>
                <w:sz w:val="16"/>
              </w:rPr>
            </w:pPr>
            <w:r>
              <w:rPr>
                <w:sz w:val="16"/>
              </w:rPr>
              <w:t>Service revenues</w:t>
            </w:r>
          </w:p>
        </w:tc>
        <w:tc>
          <w:tcPr>
            <w:tcW w:w="60" w:type="dxa"/>
            <w:tcBorders/>
            <w:shd w:fill="CCEEFF" w:val="clear"/>
            <w:vAlign w:val="center"/>
          </w:tcPr>
          <w:p>
            <w:pPr>
              <w:pStyle w:val="TableContents"/>
              <w:bidi w:val="0"/>
              <w:spacing w:before="0" w:after="283"/>
              <w:jc w:val="left"/>
              <w:rPr/>
            </w:pPr>
            <w:r>
              <w:rPr/>
              <w:t> </w:t>
            </w:r>
          </w:p>
        </w:tc>
        <w:tc>
          <w:tcPr>
            <w:tcW w:w="12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36" w:type="dxa"/>
            <w:tcBorders>
              <w:bottom w:val="single" w:sz="8" w:space="0" w:color="000000"/>
            </w:tcBorders>
            <w:shd w:fill="CCEEFF" w:val="clear"/>
            <w:tcMar>
              <w:bottom w:w="28" w:type="dxa"/>
            </w:tcMar>
            <w:vAlign w:val="center"/>
          </w:tcPr>
          <w:p>
            <w:pPr>
              <w:pStyle w:val="TableContents"/>
              <w:bidi w:val="0"/>
              <w:spacing w:before="0" w:after="283"/>
              <w:jc w:val="right"/>
              <w:rPr>
                <w:sz w:val="16"/>
              </w:rPr>
            </w:pPr>
            <w:r>
              <w:rPr>
                <w:sz w:val="16"/>
              </w:rPr>
              <w:t>125,579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66" w:type="dxa"/>
            <w:tcBorders>
              <w:bottom w:val="single" w:sz="8" w:space="0" w:color="000000"/>
            </w:tcBorders>
            <w:shd w:fill="CCEEFF" w:val="clear"/>
            <w:tcMar>
              <w:bottom w:w="28" w:type="dxa"/>
            </w:tcMar>
            <w:vAlign w:val="center"/>
          </w:tcPr>
          <w:p>
            <w:pPr>
              <w:pStyle w:val="TableContents"/>
              <w:bidi w:val="0"/>
              <w:spacing w:before="0" w:after="283"/>
              <w:jc w:val="right"/>
              <w:rPr>
                <w:sz w:val="16"/>
              </w:rPr>
            </w:pPr>
            <w:r>
              <w:rPr>
                <w:sz w:val="16"/>
              </w:rPr>
              <w:t>403,308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99"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9"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9"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62" w:type="dxa"/>
            <w:tcBorders>
              <w:bottom w:val="single" w:sz="8" w:space="0" w:color="000000"/>
            </w:tcBorders>
            <w:shd w:fill="CCEEFF" w:val="clear"/>
            <w:tcMar>
              <w:bottom w:w="28" w:type="dxa"/>
            </w:tcMar>
            <w:vAlign w:val="center"/>
          </w:tcPr>
          <w:p>
            <w:pPr>
              <w:pStyle w:val="TableContents"/>
              <w:bidi w:val="0"/>
              <w:spacing w:before="0" w:after="283"/>
              <w:jc w:val="right"/>
              <w:rPr>
                <w:sz w:val="16"/>
              </w:rPr>
            </w:pPr>
            <w:r>
              <w:rPr>
                <w:sz w:val="16"/>
              </w:rPr>
              <w:t>528,887</w:t>
            </w:r>
          </w:p>
        </w:tc>
        <w:tc>
          <w:tcPr>
            <w:tcW w:w="101" w:type="dxa"/>
            <w:tcBorders/>
            <w:shd w:fill="CCEEFF" w:val="clear"/>
            <w:vAlign w:val="center"/>
          </w:tcPr>
          <w:p>
            <w:pPr>
              <w:pStyle w:val="TableContents"/>
              <w:bidi w:val="0"/>
              <w:spacing w:before="0" w:after="283"/>
              <w:jc w:val="left"/>
              <w:rPr/>
            </w:pPr>
            <w:r>
              <w:rPr/>
              <w:t> </w:t>
            </w:r>
          </w:p>
        </w:tc>
      </w:tr>
      <w:tr>
        <w:trPr/>
        <w:tc>
          <w:tcPr>
            <w:tcW w:w="3267" w:type="dxa"/>
            <w:tcBorders/>
            <w:shd w:fill="FFFFFF" w:val="clear"/>
            <w:vAlign w:val="center"/>
          </w:tcPr>
          <w:p>
            <w:pPr>
              <w:pStyle w:val="TableContents"/>
              <w:bidi w:val="0"/>
              <w:spacing w:before="0" w:after="283"/>
              <w:jc w:val="left"/>
              <w:rPr>
                <w:sz w:val="16"/>
              </w:rPr>
            </w:pPr>
            <w:r>
              <w:rPr>
                <w:sz w:val="16"/>
              </w:rPr>
              <w:t>Total revenues</w:t>
            </w:r>
          </w:p>
        </w:tc>
        <w:tc>
          <w:tcPr>
            <w:tcW w:w="60" w:type="dxa"/>
            <w:tcBorders/>
            <w:shd w:fill="FFFFFF" w:val="clear"/>
            <w:vAlign w:val="center"/>
          </w:tcPr>
          <w:p>
            <w:pPr>
              <w:pStyle w:val="TableContents"/>
              <w:bidi w:val="0"/>
              <w:spacing w:before="0" w:after="283"/>
              <w:jc w:val="left"/>
              <w:rPr/>
            </w:pPr>
            <w:r>
              <w:rPr/>
              <w:t> </w:t>
            </w:r>
          </w:p>
        </w:tc>
        <w:tc>
          <w:tcPr>
            <w:tcW w:w="12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36" w:type="dxa"/>
            <w:tcBorders>
              <w:bottom w:val="single" w:sz="8" w:space="0" w:color="000000"/>
            </w:tcBorders>
            <w:shd w:fill="FFFFFF" w:val="clear"/>
            <w:tcMar>
              <w:bottom w:w="28" w:type="dxa"/>
            </w:tcMar>
            <w:vAlign w:val="center"/>
          </w:tcPr>
          <w:p>
            <w:pPr>
              <w:pStyle w:val="TableContents"/>
              <w:bidi w:val="0"/>
              <w:spacing w:before="0" w:after="283"/>
              <w:jc w:val="right"/>
              <w:rPr>
                <w:sz w:val="16"/>
              </w:rPr>
            </w:pPr>
            <w:r>
              <w:rPr>
                <w:sz w:val="16"/>
              </w:rPr>
              <w:t>434,414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66" w:type="dxa"/>
            <w:tcBorders>
              <w:bottom w:val="single" w:sz="8" w:space="0" w:color="000000"/>
            </w:tcBorders>
            <w:shd w:fill="FFFFFF" w:val="clear"/>
            <w:tcMar>
              <w:bottom w:w="28" w:type="dxa"/>
            </w:tcMar>
            <w:vAlign w:val="center"/>
          </w:tcPr>
          <w:p>
            <w:pPr>
              <w:pStyle w:val="TableContents"/>
              <w:bidi w:val="0"/>
              <w:spacing w:before="0" w:after="283"/>
              <w:jc w:val="right"/>
              <w:rPr>
                <w:sz w:val="16"/>
              </w:rPr>
            </w:pPr>
            <w:r>
              <w:rPr>
                <w:sz w:val="16"/>
              </w:rPr>
              <w:t>444,294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9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9"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9"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62" w:type="dxa"/>
            <w:tcBorders>
              <w:bottom w:val="single" w:sz="8" w:space="0" w:color="000000"/>
            </w:tcBorders>
            <w:shd w:fill="FFFFFF" w:val="clear"/>
            <w:tcMar>
              <w:bottom w:w="28" w:type="dxa"/>
            </w:tcMar>
            <w:vAlign w:val="center"/>
          </w:tcPr>
          <w:p>
            <w:pPr>
              <w:pStyle w:val="TableContents"/>
              <w:bidi w:val="0"/>
              <w:spacing w:before="0" w:after="283"/>
              <w:jc w:val="right"/>
              <w:rPr>
                <w:sz w:val="16"/>
              </w:rPr>
            </w:pPr>
            <w:r>
              <w:rPr>
                <w:sz w:val="16"/>
              </w:rPr>
              <w:t>878,708</w:t>
            </w:r>
          </w:p>
        </w:tc>
        <w:tc>
          <w:tcPr>
            <w:tcW w:w="101" w:type="dxa"/>
            <w:tcBorders/>
            <w:shd w:fill="FFFFFF" w:val="clear"/>
            <w:vAlign w:val="center"/>
          </w:tcPr>
          <w:p>
            <w:pPr>
              <w:pStyle w:val="TableContents"/>
              <w:bidi w:val="0"/>
              <w:spacing w:before="0" w:after="283"/>
              <w:jc w:val="left"/>
              <w:rPr/>
            </w:pPr>
            <w:r>
              <w:rPr/>
              <w:t> </w:t>
            </w:r>
          </w:p>
        </w:tc>
      </w:tr>
      <w:tr>
        <w:trPr/>
        <w:tc>
          <w:tcPr>
            <w:tcW w:w="326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736"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866"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89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9"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88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9"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62" w:type="dxa"/>
            <w:tcBorders/>
            <w:shd w:fill="CCEEFF" w:val="clear"/>
            <w:vAlign w:val="center"/>
          </w:tcPr>
          <w:p>
            <w:pPr>
              <w:pStyle w:val="TableContents"/>
              <w:bidi w:val="0"/>
              <w:spacing w:before="0" w:after="283"/>
              <w:jc w:val="right"/>
              <w:rPr/>
            </w:pPr>
            <w:r>
              <w:rPr/>
              <w:t> </w:t>
            </w:r>
          </w:p>
        </w:tc>
        <w:tc>
          <w:tcPr>
            <w:tcW w:w="101" w:type="dxa"/>
            <w:tcBorders/>
            <w:shd w:fill="CCEEFF" w:val="clear"/>
            <w:vAlign w:val="center"/>
          </w:tcPr>
          <w:p>
            <w:pPr>
              <w:pStyle w:val="TableContents"/>
              <w:bidi w:val="0"/>
              <w:spacing w:before="0" w:after="283"/>
              <w:jc w:val="left"/>
              <w:rPr/>
            </w:pPr>
            <w:r>
              <w:rPr/>
              <w:t> </w:t>
            </w:r>
          </w:p>
        </w:tc>
      </w:tr>
      <w:tr>
        <w:trPr/>
        <w:tc>
          <w:tcPr>
            <w:tcW w:w="3267" w:type="dxa"/>
            <w:tcBorders/>
            <w:shd w:fill="FFFFFF" w:val="clear"/>
            <w:vAlign w:val="center"/>
          </w:tcPr>
          <w:p>
            <w:pPr>
              <w:pStyle w:val="TableContents"/>
              <w:bidi w:val="0"/>
              <w:spacing w:before="0" w:after="283"/>
              <w:jc w:val="left"/>
              <w:rPr>
                <w:sz w:val="16"/>
              </w:rPr>
            </w:pPr>
            <w:r>
              <w:rPr>
                <w:sz w:val="16"/>
              </w:rPr>
              <w:t>Cost of revenues:</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89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9"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88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9"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62" w:type="dxa"/>
            <w:tcBorders/>
            <w:shd w:fill="FFFFFF" w:val="clear"/>
            <w:vAlign w:val="center"/>
          </w:tcPr>
          <w:p>
            <w:pPr>
              <w:pStyle w:val="TableContents"/>
              <w:bidi w:val="0"/>
              <w:spacing w:before="0" w:after="283"/>
              <w:jc w:val="right"/>
              <w:rPr/>
            </w:pPr>
            <w:r>
              <w:rPr/>
              <w:t> </w:t>
            </w:r>
          </w:p>
        </w:tc>
        <w:tc>
          <w:tcPr>
            <w:tcW w:w="101" w:type="dxa"/>
            <w:tcBorders/>
            <w:shd w:fill="FFFFFF" w:val="clear"/>
            <w:vAlign w:val="center"/>
          </w:tcPr>
          <w:p>
            <w:pPr>
              <w:pStyle w:val="TableContents"/>
              <w:bidi w:val="0"/>
              <w:spacing w:before="0" w:after="283"/>
              <w:jc w:val="left"/>
              <w:rPr/>
            </w:pPr>
            <w:r>
              <w:rPr/>
              <w:t> </w:t>
            </w:r>
          </w:p>
        </w:tc>
      </w:tr>
      <w:tr>
        <w:trPr/>
        <w:tc>
          <w:tcPr>
            <w:tcW w:w="3267" w:type="dxa"/>
            <w:tcBorders/>
            <w:shd w:fill="CCEEFF" w:val="clear"/>
            <w:vAlign w:val="center"/>
          </w:tcPr>
          <w:p>
            <w:pPr>
              <w:pStyle w:val="TableContents"/>
              <w:bidi w:val="0"/>
              <w:spacing w:before="0" w:after="283"/>
              <w:jc w:val="left"/>
              <w:rPr>
                <w:sz w:val="16"/>
              </w:rPr>
            </w:pPr>
            <w:r>
              <w:rPr>
                <w:sz w:val="16"/>
              </w:rPr>
              <w:t>Cost of product revenues</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736" w:type="dxa"/>
            <w:tcBorders/>
            <w:shd w:fill="CCEEFF" w:val="clear"/>
            <w:vAlign w:val="center"/>
          </w:tcPr>
          <w:p>
            <w:pPr>
              <w:pStyle w:val="TableContents"/>
              <w:bidi w:val="0"/>
              <w:spacing w:before="0" w:after="283"/>
              <w:jc w:val="right"/>
              <w:rPr>
                <w:sz w:val="16"/>
              </w:rPr>
            </w:pPr>
            <w:r>
              <w:rPr>
                <w:sz w:val="16"/>
              </w:rPr>
              <w:t>198,523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866" w:type="dxa"/>
            <w:tcBorders/>
            <w:shd w:fill="CCEEFF" w:val="clear"/>
            <w:vAlign w:val="center"/>
          </w:tcPr>
          <w:p>
            <w:pPr>
              <w:pStyle w:val="TableContents"/>
              <w:bidi w:val="0"/>
              <w:spacing w:before="0" w:after="283"/>
              <w:jc w:val="right"/>
              <w:rPr>
                <w:sz w:val="16"/>
              </w:rPr>
            </w:pPr>
            <w:r>
              <w:rPr>
                <w:sz w:val="16"/>
              </w:rPr>
              <w:t>35,549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899" w:type="dxa"/>
            <w:tcBorders/>
            <w:shd w:fill="CCEEFF" w:val="clear"/>
            <w:vAlign w:val="center"/>
          </w:tcPr>
          <w:p>
            <w:pPr>
              <w:pStyle w:val="TableContents"/>
              <w:bidi w:val="0"/>
              <w:spacing w:before="0" w:after="283"/>
              <w:jc w:val="right"/>
              <w:rPr>
                <w:sz w:val="16"/>
              </w:rPr>
            </w:pPr>
            <w:r>
              <w:rPr>
                <w:sz w:val="16"/>
              </w:rPr>
              <w:t>1,748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9" w:type="dxa"/>
            <w:tcBorders/>
            <w:shd w:fill="CCEEFF" w:val="clear"/>
            <w:vAlign w:val="center"/>
          </w:tcPr>
          <w:p>
            <w:pPr>
              <w:pStyle w:val="TableContents"/>
              <w:bidi w:val="0"/>
              <w:spacing w:before="0" w:after="283"/>
              <w:jc w:val="center"/>
              <w:rPr>
                <w:sz w:val="16"/>
              </w:rPr>
            </w:pPr>
            <w:r>
              <w:rPr>
                <w:sz w:val="16"/>
              </w:rPr>
              <w:t>(i)(j)</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88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9"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62" w:type="dxa"/>
            <w:tcBorders/>
            <w:shd w:fill="CCEEFF" w:val="clear"/>
            <w:vAlign w:val="center"/>
          </w:tcPr>
          <w:p>
            <w:pPr>
              <w:pStyle w:val="TableContents"/>
              <w:bidi w:val="0"/>
              <w:spacing w:before="0" w:after="283"/>
              <w:jc w:val="right"/>
              <w:rPr>
                <w:sz w:val="16"/>
              </w:rPr>
            </w:pPr>
            <w:r>
              <w:rPr>
                <w:sz w:val="16"/>
              </w:rPr>
              <w:t>235,820</w:t>
            </w:r>
          </w:p>
        </w:tc>
        <w:tc>
          <w:tcPr>
            <w:tcW w:w="101" w:type="dxa"/>
            <w:tcBorders/>
            <w:shd w:fill="CCEEFF" w:val="clear"/>
            <w:vAlign w:val="center"/>
          </w:tcPr>
          <w:p>
            <w:pPr>
              <w:pStyle w:val="TableContents"/>
              <w:bidi w:val="0"/>
              <w:spacing w:before="0" w:after="283"/>
              <w:jc w:val="left"/>
              <w:rPr/>
            </w:pPr>
            <w:r>
              <w:rPr/>
              <w:t> </w:t>
            </w:r>
          </w:p>
        </w:tc>
      </w:tr>
      <w:tr>
        <w:trPr/>
        <w:tc>
          <w:tcPr>
            <w:tcW w:w="3267" w:type="dxa"/>
            <w:tcBorders/>
            <w:shd w:fill="FFFFFF" w:val="clear"/>
            <w:vAlign w:val="center"/>
          </w:tcPr>
          <w:p>
            <w:pPr>
              <w:pStyle w:val="TableContents"/>
              <w:bidi w:val="0"/>
              <w:spacing w:before="0" w:after="283"/>
              <w:jc w:val="left"/>
              <w:rPr>
                <w:sz w:val="16"/>
              </w:rPr>
            </w:pPr>
            <w:r>
              <w:rPr>
                <w:sz w:val="16"/>
              </w:rPr>
              <w:t>Cost of service revenues</w:t>
            </w:r>
          </w:p>
        </w:tc>
        <w:tc>
          <w:tcPr>
            <w:tcW w:w="60" w:type="dxa"/>
            <w:tcBorders/>
            <w:shd w:fill="FFFFFF" w:val="clear"/>
            <w:vAlign w:val="center"/>
          </w:tcPr>
          <w:p>
            <w:pPr>
              <w:pStyle w:val="TableContents"/>
              <w:bidi w:val="0"/>
              <w:spacing w:before="0" w:after="283"/>
              <w:jc w:val="left"/>
              <w:rPr/>
            </w:pPr>
            <w:r>
              <w:rPr/>
              <w:t> </w:t>
            </w:r>
          </w:p>
        </w:tc>
        <w:tc>
          <w:tcPr>
            <w:tcW w:w="12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36" w:type="dxa"/>
            <w:tcBorders>
              <w:bottom w:val="single" w:sz="8" w:space="0" w:color="000000"/>
            </w:tcBorders>
            <w:shd w:fill="FFFFFF" w:val="clear"/>
            <w:tcMar>
              <w:bottom w:w="28" w:type="dxa"/>
            </w:tcMar>
            <w:vAlign w:val="center"/>
          </w:tcPr>
          <w:p>
            <w:pPr>
              <w:pStyle w:val="TableContents"/>
              <w:bidi w:val="0"/>
              <w:spacing w:before="0" w:after="283"/>
              <w:jc w:val="right"/>
              <w:rPr>
                <w:sz w:val="16"/>
              </w:rPr>
            </w:pPr>
            <w:r>
              <w:rPr>
                <w:sz w:val="16"/>
              </w:rPr>
              <w:t>74,822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66" w:type="dxa"/>
            <w:tcBorders>
              <w:bottom w:val="single" w:sz="8" w:space="0" w:color="000000"/>
            </w:tcBorders>
            <w:shd w:fill="FFFFFF" w:val="clear"/>
            <w:tcMar>
              <w:bottom w:w="28" w:type="dxa"/>
            </w:tcMar>
            <w:vAlign w:val="center"/>
          </w:tcPr>
          <w:p>
            <w:pPr>
              <w:pStyle w:val="TableContents"/>
              <w:bidi w:val="0"/>
              <w:spacing w:before="0" w:after="283"/>
              <w:jc w:val="right"/>
              <w:rPr>
                <w:sz w:val="16"/>
              </w:rPr>
            </w:pPr>
            <w:r>
              <w:rPr>
                <w:sz w:val="16"/>
              </w:rPr>
              <w:t>190,285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99" w:type="dxa"/>
            <w:tcBorders>
              <w:bottom w:val="single" w:sz="8" w:space="0" w:color="000000"/>
            </w:tcBorders>
            <w:shd w:fill="FFFFFF" w:val="clear"/>
            <w:tcMar>
              <w:bottom w:w="28" w:type="dxa"/>
            </w:tcMar>
            <w:vAlign w:val="center"/>
          </w:tcPr>
          <w:p>
            <w:pPr>
              <w:pStyle w:val="TableContents"/>
              <w:bidi w:val="0"/>
              <w:spacing w:before="0" w:after="283"/>
              <w:jc w:val="right"/>
              <w:rPr>
                <w:sz w:val="16"/>
              </w:rPr>
            </w:pPr>
            <w:r>
              <w:rPr>
                <w:sz w:val="16"/>
              </w:rPr>
              <w:t>24,087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9" w:type="dxa"/>
            <w:tcBorders/>
            <w:shd w:fill="FFFFFF" w:val="clear"/>
            <w:vAlign w:val="center"/>
          </w:tcPr>
          <w:p>
            <w:pPr>
              <w:pStyle w:val="TableContents"/>
              <w:bidi w:val="0"/>
              <w:spacing w:before="0" w:after="283"/>
              <w:jc w:val="center"/>
              <w:rPr>
                <w:sz w:val="16"/>
              </w:rPr>
            </w:pPr>
            <w:r>
              <w:rPr>
                <w:sz w:val="16"/>
              </w:rPr>
              <w:t>(i)(j)</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9"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62" w:type="dxa"/>
            <w:tcBorders>
              <w:bottom w:val="single" w:sz="8" w:space="0" w:color="000000"/>
            </w:tcBorders>
            <w:shd w:fill="FFFFFF" w:val="clear"/>
            <w:tcMar>
              <w:bottom w:w="28" w:type="dxa"/>
            </w:tcMar>
            <w:vAlign w:val="center"/>
          </w:tcPr>
          <w:p>
            <w:pPr>
              <w:pStyle w:val="TableContents"/>
              <w:bidi w:val="0"/>
              <w:spacing w:before="0" w:after="283"/>
              <w:jc w:val="right"/>
              <w:rPr>
                <w:sz w:val="16"/>
              </w:rPr>
            </w:pPr>
            <w:r>
              <w:rPr>
                <w:sz w:val="16"/>
              </w:rPr>
              <w:t>289,194</w:t>
            </w:r>
          </w:p>
        </w:tc>
        <w:tc>
          <w:tcPr>
            <w:tcW w:w="101" w:type="dxa"/>
            <w:tcBorders/>
            <w:shd w:fill="FFFFFF" w:val="clear"/>
            <w:vAlign w:val="center"/>
          </w:tcPr>
          <w:p>
            <w:pPr>
              <w:pStyle w:val="TableContents"/>
              <w:bidi w:val="0"/>
              <w:spacing w:before="0" w:after="283"/>
              <w:jc w:val="left"/>
              <w:rPr/>
            </w:pPr>
            <w:r>
              <w:rPr/>
              <w:t> </w:t>
            </w:r>
          </w:p>
        </w:tc>
      </w:tr>
      <w:tr>
        <w:trPr/>
        <w:tc>
          <w:tcPr>
            <w:tcW w:w="3267" w:type="dxa"/>
            <w:tcBorders/>
            <w:shd w:fill="CCEEFF" w:val="clear"/>
            <w:vAlign w:val="center"/>
          </w:tcPr>
          <w:p>
            <w:pPr>
              <w:pStyle w:val="TableContents"/>
              <w:bidi w:val="0"/>
              <w:spacing w:before="0" w:after="283"/>
              <w:jc w:val="left"/>
              <w:rPr>
                <w:sz w:val="16"/>
              </w:rPr>
            </w:pPr>
            <w:r>
              <w:rPr>
                <w:sz w:val="16"/>
              </w:rPr>
              <w:t>Total cost of revenues</w:t>
            </w:r>
          </w:p>
        </w:tc>
        <w:tc>
          <w:tcPr>
            <w:tcW w:w="60" w:type="dxa"/>
            <w:tcBorders/>
            <w:shd w:fill="CCEEFF" w:val="clear"/>
            <w:vAlign w:val="center"/>
          </w:tcPr>
          <w:p>
            <w:pPr>
              <w:pStyle w:val="TableContents"/>
              <w:bidi w:val="0"/>
              <w:spacing w:before="0" w:after="283"/>
              <w:jc w:val="left"/>
              <w:rPr/>
            </w:pPr>
            <w:r>
              <w:rPr/>
              <w:t> </w:t>
            </w:r>
          </w:p>
        </w:tc>
        <w:tc>
          <w:tcPr>
            <w:tcW w:w="12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36" w:type="dxa"/>
            <w:tcBorders>
              <w:bottom w:val="single" w:sz="8" w:space="0" w:color="000000"/>
            </w:tcBorders>
            <w:shd w:fill="CCEEFF" w:val="clear"/>
            <w:tcMar>
              <w:bottom w:w="28" w:type="dxa"/>
            </w:tcMar>
            <w:vAlign w:val="center"/>
          </w:tcPr>
          <w:p>
            <w:pPr>
              <w:pStyle w:val="TableContents"/>
              <w:bidi w:val="0"/>
              <w:spacing w:before="0" w:after="283"/>
              <w:jc w:val="right"/>
              <w:rPr>
                <w:sz w:val="16"/>
              </w:rPr>
            </w:pPr>
            <w:r>
              <w:rPr>
                <w:sz w:val="16"/>
              </w:rPr>
              <w:t>273,345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66" w:type="dxa"/>
            <w:tcBorders>
              <w:bottom w:val="single" w:sz="8" w:space="0" w:color="000000"/>
            </w:tcBorders>
            <w:shd w:fill="CCEEFF" w:val="clear"/>
            <w:tcMar>
              <w:bottom w:w="28" w:type="dxa"/>
            </w:tcMar>
            <w:vAlign w:val="center"/>
          </w:tcPr>
          <w:p>
            <w:pPr>
              <w:pStyle w:val="TableContents"/>
              <w:bidi w:val="0"/>
              <w:spacing w:before="0" w:after="283"/>
              <w:jc w:val="right"/>
              <w:rPr>
                <w:sz w:val="16"/>
              </w:rPr>
            </w:pPr>
            <w:r>
              <w:rPr>
                <w:sz w:val="16"/>
              </w:rPr>
              <w:t>225,834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99" w:type="dxa"/>
            <w:tcBorders>
              <w:bottom w:val="single" w:sz="8" w:space="0" w:color="000000"/>
            </w:tcBorders>
            <w:shd w:fill="CCEEFF" w:val="clear"/>
            <w:tcMar>
              <w:bottom w:w="28" w:type="dxa"/>
            </w:tcMar>
            <w:vAlign w:val="center"/>
          </w:tcPr>
          <w:p>
            <w:pPr>
              <w:pStyle w:val="TableContents"/>
              <w:bidi w:val="0"/>
              <w:spacing w:before="0" w:after="283"/>
              <w:jc w:val="right"/>
              <w:rPr>
                <w:sz w:val="16"/>
              </w:rPr>
            </w:pPr>
            <w:r>
              <w:rPr>
                <w:sz w:val="16"/>
              </w:rPr>
              <w:t>25,835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9"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9"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62" w:type="dxa"/>
            <w:tcBorders>
              <w:bottom w:val="single" w:sz="8" w:space="0" w:color="000000"/>
            </w:tcBorders>
            <w:shd w:fill="CCEEFF" w:val="clear"/>
            <w:tcMar>
              <w:bottom w:w="28" w:type="dxa"/>
            </w:tcMar>
            <w:vAlign w:val="center"/>
          </w:tcPr>
          <w:p>
            <w:pPr>
              <w:pStyle w:val="TableContents"/>
              <w:bidi w:val="0"/>
              <w:spacing w:before="0" w:after="283"/>
              <w:jc w:val="right"/>
              <w:rPr>
                <w:sz w:val="16"/>
              </w:rPr>
            </w:pPr>
            <w:r>
              <w:rPr>
                <w:sz w:val="16"/>
              </w:rPr>
              <w:t>525,014</w:t>
            </w:r>
          </w:p>
        </w:tc>
        <w:tc>
          <w:tcPr>
            <w:tcW w:w="101" w:type="dxa"/>
            <w:tcBorders/>
            <w:shd w:fill="CCEEFF" w:val="clear"/>
            <w:vAlign w:val="center"/>
          </w:tcPr>
          <w:p>
            <w:pPr>
              <w:pStyle w:val="TableContents"/>
              <w:bidi w:val="0"/>
              <w:spacing w:before="0" w:after="283"/>
              <w:jc w:val="left"/>
              <w:rPr/>
            </w:pPr>
            <w:r>
              <w:rPr/>
              <w:t> </w:t>
            </w:r>
          </w:p>
        </w:tc>
      </w:tr>
      <w:tr>
        <w:trPr/>
        <w:tc>
          <w:tcPr>
            <w:tcW w:w="3267" w:type="dxa"/>
            <w:tcBorders/>
            <w:shd w:fill="FFFFFF" w:val="clear"/>
            <w:vAlign w:val="center"/>
          </w:tcPr>
          <w:p>
            <w:pPr>
              <w:pStyle w:val="TableContents"/>
              <w:bidi w:val="0"/>
              <w:spacing w:before="0" w:after="283"/>
              <w:jc w:val="left"/>
              <w:rPr>
                <w:sz w:val="16"/>
              </w:rPr>
            </w:pPr>
            <w:r>
              <w:rPr>
                <w:sz w:val="16"/>
              </w:rPr>
              <w:t>Gross profit</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sz w:val="16"/>
              </w:rPr>
            </w:pPr>
            <w:r>
              <w:rPr>
                <w:sz w:val="16"/>
              </w:rPr>
              <w:t>161,069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right"/>
              <w:rPr>
                <w:sz w:val="16"/>
              </w:rPr>
            </w:pPr>
            <w:r>
              <w:rPr>
                <w:sz w:val="16"/>
              </w:rPr>
              <w:t>218,460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899" w:type="dxa"/>
            <w:tcBorders/>
            <w:shd w:fill="FFFFFF" w:val="clear"/>
            <w:vAlign w:val="center"/>
          </w:tcPr>
          <w:p>
            <w:pPr>
              <w:pStyle w:val="TableContents"/>
              <w:bidi w:val="0"/>
              <w:spacing w:before="0" w:after="283"/>
              <w:jc w:val="right"/>
              <w:rPr>
                <w:sz w:val="16"/>
              </w:rPr>
            </w:pPr>
            <w:r>
              <w:rPr>
                <w:sz w:val="16"/>
              </w:rPr>
              <w:t>(25,835</w:t>
            </w:r>
          </w:p>
        </w:tc>
        <w:tc>
          <w:tcPr>
            <w:tcW w:w="80" w:type="dxa"/>
            <w:tcBorders/>
            <w:shd w:fill="FFFFFF" w:val="clear"/>
            <w:vAlign w:val="center"/>
          </w:tcPr>
          <w:p>
            <w:pPr>
              <w:pStyle w:val="TableContents"/>
              <w:bidi w:val="0"/>
              <w:spacing w:before="0" w:after="283"/>
              <w:jc w:val="lef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619"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88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9"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62" w:type="dxa"/>
            <w:tcBorders/>
            <w:shd w:fill="FFFFFF" w:val="clear"/>
            <w:vAlign w:val="center"/>
          </w:tcPr>
          <w:p>
            <w:pPr>
              <w:pStyle w:val="TableContents"/>
              <w:bidi w:val="0"/>
              <w:spacing w:before="0" w:after="283"/>
              <w:jc w:val="right"/>
              <w:rPr>
                <w:sz w:val="16"/>
              </w:rPr>
            </w:pPr>
            <w:r>
              <w:rPr>
                <w:sz w:val="16"/>
              </w:rPr>
              <w:t>353,694</w:t>
            </w:r>
          </w:p>
        </w:tc>
        <w:tc>
          <w:tcPr>
            <w:tcW w:w="101" w:type="dxa"/>
            <w:tcBorders/>
            <w:shd w:fill="FFFFFF" w:val="clear"/>
            <w:vAlign w:val="center"/>
          </w:tcPr>
          <w:p>
            <w:pPr>
              <w:pStyle w:val="TableContents"/>
              <w:bidi w:val="0"/>
              <w:spacing w:before="0" w:after="283"/>
              <w:jc w:val="left"/>
              <w:rPr/>
            </w:pPr>
            <w:r>
              <w:rPr/>
              <w:t> </w:t>
            </w:r>
          </w:p>
        </w:tc>
      </w:tr>
      <w:tr>
        <w:trPr/>
        <w:tc>
          <w:tcPr>
            <w:tcW w:w="326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736"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866"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89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9"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88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9"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62" w:type="dxa"/>
            <w:tcBorders/>
            <w:shd w:fill="CCEEFF" w:val="clear"/>
            <w:vAlign w:val="center"/>
          </w:tcPr>
          <w:p>
            <w:pPr>
              <w:pStyle w:val="TableContents"/>
              <w:bidi w:val="0"/>
              <w:spacing w:before="0" w:after="283"/>
              <w:jc w:val="right"/>
              <w:rPr/>
            </w:pPr>
            <w:r>
              <w:rPr/>
              <w:t> </w:t>
            </w:r>
          </w:p>
        </w:tc>
        <w:tc>
          <w:tcPr>
            <w:tcW w:w="101" w:type="dxa"/>
            <w:tcBorders/>
            <w:shd w:fill="CCEEFF" w:val="clear"/>
            <w:vAlign w:val="center"/>
          </w:tcPr>
          <w:p>
            <w:pPr>
              <w:pStyle w:val="TableContents"/>
              <w:bidi w:val="0"/>
              <w:spacing w:before="0" w:after="283"/>
              <w:jc w:val="left"/>
              <w:rPr/>
            </w:pPr>
            <w:r>
              <w:rPr/>
              <w:t> </w:t>
            </w:r>
          </w:p>
        </w:tc>
      </w:tr>
      <w:tr>
        <w:trPr/>
        <w:tc>
          <w:tcPr>
            <w:tcW w:w="3267" w:type="dxa"/>
            <w:tcBorders/>
            <w:shd w:fill="FFFFFF" w:val="clear"/>
            <w:vAlign w:val="center"/>
          </w:tcPr>
          <w:p>
            <w:pPr>
              <w:pStyle w:val="TableContents"/>
              <w:bidi w:val="0"/>
              <w:spacing w:before="0" w:after="283"/>
              <w:jc w:val="left"/>
              <w:rPr>
                <w:sz w:val="16"/>
              </w:rPr>
            </w:pPr>
            <w:r>
              <w:rPr>
                <w:sz w:val="16"/>
              </w:rPr>
              <w:t>Operating expenses:</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89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9"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88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9"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62" w:type="dxa"/>
            <w:tcBorders/>
            <w:shd w:fill="FFFFFF" w:val="clear"/>
            <w:vAlign w:val="center"/>
          </w:tcPr>
          <w:p>
            <w:pPr>
              <w:pStyle w:val="TableContents"/>
              <w:bidi w:val="0"/>
              <w:spacing w:before="0" w:after="283"/>
              <w:jc w:val="right"/>
              <w:rPr/>
            </w:pPr>
            <w:r>
              <w:rPr/>
              <w:t> </w:t>
            </w:r>
          </w:p>
        </w:tc>
        <w:tc>
          <w:tcPr>
            <w:tcW w:w="101" w:type="dxa"/>
            <w:tcBorders/>
            <w:shd w:fill="FFFFFF" w:val="clear"/>
            <w:vAlign w:val="center"/>
          </w:tcPr>
          <w:p>
            <w:pPr>
              <w:pStyle w:val="TableContents"/>
              <w:bidi w:val="0"/>
              <w:spacing w:before="0" w:after="283"/>
              <w:jc w:val="left"/>
              <w:rPr/>
            </w:pPr>
            <w:r>
              <w:rPr/>
              <w:t> </w:t>
            </w:r>
          </w:p>
        </w:tc>
      </w:tr>
      <w:tr>
        <w:trPr/>
        <w:tc>
          <w:tcPr>
            <w:tcW w:w="3267" w:type="dxa"/>
            <w:tcBorders/>
            <w:shd w:fill="CCEEFF" w:val="clear"/>
            <w:vAlign w:val="center"/>
          </w:tcPr>
          <w:p>
            <w:pPr>
              <w:pStyle w:val="TableContents"/>
              <w:bidi w:val="0"/>
              <w:spacing w:before="0" w:after="283"/>
              <w:jc w:val="left"/>
              <w:rPr>
                <w:sz w:val="16"/>
              </w:rPr>
            </w:pPr>
            <w:r>
              <w:rPr>
                <w:sz w:val="16"/>
              </w:rPr>
              <w:t>Research and development, net</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736" w:type="dxa"/>
            <w:tcBorders/>
            <w:shd w:fill="CCEEFF" w:val="clear"/>
            <w:vAlign w:val="center"/>
          </w:tcPr>
          <w:p>
            <w:pPr>
              <w:pStyle w:val="TableContents"/>
              <w:bidi w:val="0"/>
              <w:spacing w:before="0" w:after="283"/>
              <w:jc w:val="right"/>
              <w:rPr>
                <w:sz w:val="16"/>
              </w:rPr>
            </w:pPr>
            <w:r>
              <w:rPr>
                <w:sz w:val="16"/>
              </w:rPr>
              <w:t>162,942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866" w:type="dxa"/>
            <w:tcBorders/>
            <w:shd w:fill="CCEEFF" w:val="clear"/>
            <w:vAlign w:val="center"/>
          </w:tcPr>
          <w:p>
            <w:pPr>
              <w:pStyle w:val="TableContents"/>
              <w:bidi w:val="0"/>
              <w:spacing w:before="0" w:after="283"/>
              <w:jc w:val="right"/>
              <w:rPr>
                <w:sz w:val="16"/>
              </w:rPr>
            </w:pPr>
            <w:r>
              <w:rPr>
                <w:sz w:val="16"/>
              </w:rPr>
              <w:t>11,704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899" w:type="dxa"/>
            <w:tcBorders/>
            <w:shd w:fill="CCEEFF" w:val="clear"/>
            <w:vAlign w:val="center"/>
          </w:tcPr>
          <w:p>
            <w:pPr>
              <w:pStyle w:val="TableContents"/>
              <w:bidi w:val="0"/>
              <w:spacing w:before="0" w:after="283"/>
              <w:jc w:val="right"/>
              <w:rPr>
                <w:sz w:val="16"/>
              </w:rPr>
            </w:pPr>
            <w:r>
              <w:rPr>
                <w:sz w:val="16"/>
              </w:rPr>
              <w:t>548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9" w:type="dxa"/>
            <w:tcBorders/>
            <w:shd w:fill="CCEEFF" w:val="clear"/>
            <w:vAlign w:val="center"/>
          </w:tcPr>
          <w:p>
            <w:pPr>
              <w:pStyle w:val="TableContents"/>
              <w:bidi w:val="0"/>
              <w:spacing w:before="0" w:after="283"/>
              <w:jc w:val="center"/>
              <w:rPr>
                <w:sz w:val="16"/>
              </w:rPr>
            </w:pPr>
            <w:r>
              <w:rPr>
                <w:sz w:val="16"/>
              </w:rPr>
              <w:t>(j)</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88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9"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62" w:type="dxa"/>
            <w:tcBorders/>
            <w:shd w:fill="CCEEFF" w:val="clear"/>
            <w:vAlign w:val="center"/>
          </w:tcPr>
          <w:p>
            <w:pPr>
              <w:pStyle w:val="TableContents"/>
              <w:bidi w:val="0"/>
              <w:spacing w:before="0" w:after="283"/>
              <w:jc w:val="right"/>
              <w:rPr>
                <w:sz w:val="16"/>
              </w:rPr>
            </w:pPr>
            <w:r>
              <w:rPr>
                <w:sz w:val="16"/>
              </w:rPr>
              <w:t>175,194</w:t>
            </w:r>
          </w:p>
        </w:tc>
        <w:tc>
          <w:tcPr>
            <w:tcW w:w="101" w:type="dxa"/>
            <w:tcBorders/>
            <w:shd w:fill="CCEEFF" w:val="clear"/>
            <w:vAlign w:val="center"/>
          </w:tcPr>
          <w:p>
            <w:pPr>
              <w:pStyle w:val="TableContents"/>
              <w:bidi w:val="0"/>
              <w:spacing w:before="0" w:after="283"/>
              <w:jc w:val="left"/>
              <w:rPr/>
            </w:pPr>
            <w:r>
              <w:rPr/>
              <w:t> </w:t>
            </w:r>
          </w:p>
        </w:tc>
      </w:tr>
      <w:tr>
        <w:trPr/>
        <w:tc>
          <w:tcPr>
            <w:tcW w:w="3267" w:type="dxa"/>
            <w:tcBorders/>
            <w:shd w:fill="FFFFFF" w:val="clear"/>
            <w:vAlign w:val="center"/>
          </w:tcPr>
          <w:p>
            <w:pPr>
              <w:pStyle w:val="TableContents"/>
              <w:bidi w:val="0"/>
              <w:spacing w:before="0" w:after="283"/>
              <w:jc w:val="left"/>
              <w:rPr>
                <w:sz w:val="16"/>
              </w:rPr>
            </w:pPr>
            <w:r>
              <w:rPr>
                <w:sz w:val="16"/>
              </w:rPr>
              <w:t>Selling, general and administrative</w:t>
            </w:r>
          </w:p>
        </w:tc>
        <w:tc>
          <w:tcPr>
            <w:tcW w:w="60" w:type="dxa"/>
            <w:tcBorders/>
            <w:shd w:fill="FFFFFF" w:val="clear"/>
            <w:vAlign w:val="center"/>
          </w:tcPr>
          <w:p>
            <w:pPr>
              <w:pStyle w:val="TableContents"/>
              <w:bidi w:val="0"/>
              <w:spacing w:before="0" w:after="283"/>
              <w:jc w:val="left"/>
              <w:rPr/>
            </w:pPr>
            <w:r>
              <w:rPr/>
              <w:t> </w:t>
            </w:r>
          </w:p>
        </w:tc>
        <w:tc>
          <w:tcPr>
            <w:tcW w:w="12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36" w:type="dxa"/>
            <w:tcBorders>
              <w:bottom w:val="single" w:sz="8" w:space="0" w:color="000000"/>
            </w:tcBorders>
            <w:shd w:fill="FFFFFF" w:val="clear"/>
            <w:tcMar>
              <w:bottom w:w="28" w:type="dxa"/>
            </w:tcMar>
            <w:vAlign w:val="center"/>
          </w:tcPr>
          <w:p>
            <w:pPr>
              <w:pStyle w:val="TableContents"/>
              <w:bidi w:val="0"/>
              <w:spacing w:before="0" w:after="283"/>
              <w:jc w:val="right"/>
              <w:rPr>
                <w:sz w:val="16"/>
              </w:rPr>
            </w:pPr>
            <w:r>
              <w:rPr>
                <w:sz w:val="16"/>
              </w:rPr>
              <w:t>111,610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66" w:type="dxa"/>
            <w:tcBorders>
              <w:bottom w:val="single" w:sz="8" w:space="0" w:color="000000"/>
            </w:tcBorders>
            <w:shd w:fill="FFFFFF" w:val="clear"/>
            <w:tcMar>
              <w:bottom w:w="28" w:type="dxa"/>
            </w:tcMar>
            <w:vAlign w:val="center"/>
          </w:tcPr>
          <w:p>
            <w:pPr>
              <w:pStyle w:val="TableContents"/>
              <w:bidi w:val="0"/>
              <w:spacing w:before="0" w:after="283"/>
              <w:jc w:val="right"/>
              <w:rPr>
                <w:sz w:val="16"/>
              </w:rPr>
            </w:pPr>
            <w:r>
              <w:rPr>
                <w:sz w:val="16"/>
              </w:rPr>
              <w:t>122,035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99" w:type="dxa"/>
            <w:tcBorders>
              <w:bottom w:val="single" w:sz="8" w:space="0" w:color="000000"/>
            </w:tcBorders>
            <w:shd w:fill="FFFFFF" w:val="clear"/>
            <w:tcMar>
              <w:bottom w:w="28" w:type="dxa"/>
            </w:tcMar>
            <w:vAlign w:val="center"/>
          </w:tcPr>
          <w:p>
            <w:pPr>
              <w:pStyle w:val="TableContents"/>
              <w:bidi w:val="0"/>
              <w:spacing w:before="0" w:after="283"/>
              <w:jc w:val="right"/>
              <w:rPr>
                <w:sz w:val="16"/>
              </w:rPr>
            </w:pPr>
            <w:r>
              <w:rPr>
                <w:sz w:val="16"/>
              </w:rPr>
              <w:t>50,945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9" w:type="dxa"/>
            <w:tcBorders/>
            <w:shd w:fill="FFFFFF" w:val="clear"/>
            <w:vAlign w:val="center"/>
          </w:tcPr>
          <w:p>
            <w:pPr>
              <w:pStyle w:val="TableContents"/>
              <w:bidi w:val="0"/>
              <w:spacing w:before="0" w:after="283"/>
              <w:jc w:val="center"/>
              <w:rPr>
                <w:sz w:val="16"/>
              </w:rPr>
            </w:pPr>
            <w:r>
              <w:rPr>
                <w:sz w:val="16"/>
              </w:rPr>
              <w:t>(i)(j)(k)</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9"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62" w:type="dxa"/>
            <w:tcBorders>
              <w:bottom w:val="single" w:sz="8" w:space="0" w:color="000000"/>
            </w:tcBorders>
            <w:shd w:fill="FFFFFF" w:val="clear"/>
            <w:tcMar>
              <w:bottom w:w="28" w:type="dxa"/>
            </w:tcMar>
            <w:vAlign w:val="center"/>
          </w:tcPr>
          <w:p>
            <w:pPr>
              <w:pStyle w:val="TableContents"/>
              <w:bidi w:val="0"/>
              <w:spacing w:before="0" w:after="283"/>
              <w:jc w:val="right"/>
              <w:rPr>
                <w:sz w:val="16"/>
              </w:rPr>
            </w:pPr>
            <w:r>
              <w:rPr>
                <w:sz w:val="16"/>
              </w:rPr>
              <w:t>284,590</w:t>
            </w:r>
          </w:p>
        </w:tc>
        <w:tc>
          <w:tcPr>
            <w:tcW w:w="101" w:type="dxa"/>
            <w:tcBorders/>
            <w:shd w:fill="FFFFFF" w:val="clear"/>
            <w:vAlign w:val="center"/>
          </w:tcPr>
          <w:p>
            <w:pPr>
              <w:pStyle w:val="TableContents"/>
              <w:bidi w:val="0"/>
              <w:spacing w:before="0" w:after="283"/>
              <w:jc w:val="left"/>
              <w:rPr/>
            </w:pPr>
            <w:r>
              <w:rPr/>
              <w:t> </w:t>
            </w:r>
          </w:p>
        </w:tc>
      </w:tr>
      <w:tr>
        <w:trPr/>
        <w:tc>
          <w:tcPr>
            <w:tcW w:w="3267" w:type="dxa"/>
            <w:tcBorders/>
            <w:shd w:fill="CCEEFF" w:val="clear"/>
            <w:vAlign w:val="center"/>
          </w:tcPr>
          <w:p>
            <w:pPr>
              <w:pStyle w:val="TableContents"/>
              <w:bidi w:val="0"/>
              <w:spacing w:before="0" w:after="283"/>
              <w:jc w:val="left"/>
              <w:rPr>
                <w:sz w:val="16"/>
              </w:rPr>
            </w:pPr>
            <w:r>
              <w:rPr>
                <w:sz w:val="16"/>
              </w:rPr>
              <w:t>Total operating expenses</w:t>
            </w:r>
          </w:p>
        </w:tc>
        <w:tc>
          <w:tcPr>
            <w:tcW w:w="60" w:type="dxa"/>
            <w:tcBorders/>
            <w:shd w:fill="CCEEFF" w:val="clear"/>
            <w:vAlign w:val="center"/>
          </w:tcPr>
          <w:p>
            <w:pPr>
              <w:pStyle w:val="TableContents"/>
              <w:bidi w:val="0"/>
              <w:spacing w:before="0" w:after="283"/>
              <w:jc w:val="left"/>
              <w:rPr/>
            </w:pPr>
            <w:r>
              <w:rPr/>
              <w:t> </w:t>
            </w:r>
          </w:p>
        </w:tc>
        <w:tc>
          <w:tcPr>
            <w:tcW w:w="12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36" w:type="dxa"/>
            <w:tcBorders>
              <w:bottom w:val="single" w:sz="8" w:space="0" w:color="000000"/>
            </w:tcBorders>
            <w:shd w:fill="CCEEFF" w:val="clear"/>
            <w:tcMar>
              <w:bottom w:w="28" w:type="dxa"/>
            </w:tcMar>
            <w:vAlign w:val="center"/>
          </w:tcPr>
          <w:p>
            <w:pPr>
              <w:pStyle w:val="TableContents"/>
              <w:bidi w:val="0"/>
              <w:spacing w:before="0" w:after="283"/>
              <w:jc w:val="right"/>
              <w:rPr>
                <w:sz w:val="16"/>
              </w:rPr>
            </w:pPr>
            <w:r>
              <w:rPr>
                <w:sz w:val="16"/>
              </w:rPr>
              <w:t>274,552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66" w:type="dxa"/>
            <w:tcBorders>
              <w:bottom w:val="single" w:sz="8" w:space="0" w:color="000000"/>
            </w:tcBorders>
            <w:shd w:fill="CCEEFF" w:val="clear"/>
            <w:tcMar>
              <w:bottom w:w="28" w:type="dxa"/>
            </w:tcMar>
            <w:vAlign w:val="center"/>
          </w:tcPr>
          <w:p>
            <w:pPr>
              <w:pStyle w:val="TableContents"/>
              <w:bidi w:val="0"/>
              <w:spacing w:before="0" w:after="283"/>
              <w:jc w:val="right"/>
              <w:rPr>
                <w:sz w:val="16"/>
              </w:rPr>
            </w:pPr>
            <w:r>
              <w:rPr>
                <w:sz w:val="16"/>
              </w:rPr>
              <w:t>133,739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99" w:type="dxa"/>
            <w:tcBorders>
              <w:bottom w:val="single" w:sz="8" w:space="0" w:color="000000"/>
            </w:tcBorders>
            <w:shd w:fill="CCEEFF" w:val="clear"/>
            <w:tcMar>
              <w:bottom w:w="28" w:type="dxa"/>
            </w:tcMar>
            <w:vAlign w:val="center"/>
          </w:tcPr>
          <w:p>
            <w:pPr>
              <w:pStyle w:val="TableContents"/>
              <w:bidi w:val="0"/>
              <w:spacing w:before="0" w:after="283"/>
              <w:jc w:val="right"/>
              <w:rPr>
                <w:sz w:val="16"/>
              </w:rPr>
            </w:pPr>
            <w:r>
              <w:rPr>
                <w:sz w:val="16"/>
              </w:rPr>
              <w:t>51,493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9"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9"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62" w:type="dxa"/>
            <w:tcBorders>
              <w:bottom w:val="single" w:sz="8" w:space="0" w:color="000000"/>
            </w:tcBorders>
            <w:shd w:fill="CCEEFF" w:val="clear"/>
            <w:tcMar>
              <w:bottom w:w="28" w:type="dxa"/>
            </w:tcMar>
            <w:vAlign w:val="center"/>
          </w:tcPr>
          <w:p>
            <w:pPr>
              <w:pStyle w:val="TableContents"/>
              <w:bidi w:val="0"/>
              <w:spacing w:before="0" w:after="283"/>
              <w:jc w:val="right"/>
              <w:rPr>
                <w:sz w:val="16"/>
              </w:rPr>
            </w:pPr>
            <w:r>
              <w:rPr>
                <w:sz w:val="16"/>
              </w:rPr>
              <w:t>459,784</w:t>
            </w:r>
          </w:p>
        </w:tc>
        <w:tc>
          <w:tcPr>
            <w:tcW w:w="101" w:type="dxa"/>
            <w:tcBorders/>
            <w:shd w:fill="CCEEFF" w:val="clear"/>
            <w:vAlign w:val="center"/>
          </w:tcPr>
          <w:p>
            <w:pPr>
              <w:pStyle w:val="TableContents"/>
              <w:bidi w:val="0"/>
              <w:spacing w:before="0" w:after="283"/>
              <w:jc w:val="left"/>
              <w:rPr/>
            </w:pPr>
            <w:r>
              <w:rPr/>
              <w:t> </w:t>
            </w:r>
          </w:p>
        </w:tc>
      </w:tr>
      <w:tr>
        <w:trPr/>
        <w:tc>
          <w:tcPr>
            <w:tcW w:w="3267" w:type="dxa"/>
            <w:tcBorders/>
            <w:shd w:fill="FFFFFF" w:val="clear"/>
            <w:vAlign w:val="center"/>
          </w:tcPr>
          <w:p>
            <w:pPr>
              <w:pStyle w:val="TableContents"/>
              <w:bidi w:val="0"/>
              <w:spacing w:before="0" w:after="283"/>
              <w:jc w:val="left"/>
              <w:rPr>
                <w:sz w:val="16"/>
              </w:rPr>
            </w:pPr>
            <w:r>
              <w:rPr>
                <w:sz w:val="16"/>
              </w:rPr>
              <w:t>Operating income (loss)</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sz w:val="16"/>
              </w:rPr>
            </w:pPr>
            <w:r>
              <w:rPr>
                <w:sz w:val="16"/>
              </w:rPr>
              <w:t>(113,483</w:t>
            </w:r>
          </w:p>
        </w:tc>
        <w:tc>
          <w:tcPr>
            <w:tcW w:w="80" w:type="dxa"/>
            <w:tcBorders/>
            <w:shd w:fill="FFFFFF" w:val="clear"/>
            <w:vAlign w:val="center"/>
          </w:tcPr>
          <w:p>
            <w:pPr>
              <w:pStyle w:val="TableContents"/>
              <w:bidi w:val="0"/>
              <w:spacing w:before="0" w:after="283"/>
              <w:jc w:val="lef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right"/>
              <w:rPr>
                <w:sz w:val="16"/>
              </w:rPr>
            </w:pPr>
            <w:r>
              <w:rPr>
                <w:sz w:val="16"/>
              </w:rPr>
              <w:t>84,721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899" w:type="dxa"/>
            <w:tcBorders/>
            <w:shd w:fill="FFFFFF" w:val="clear"/>
            <w:vAlign w:val="center"/>
          </w:tcPr>
          <w:p>
            <w:pPr>
              <w:pStyle w:val="TableContents"/>
              <w:bidi w:val="0"/>
              <w:spacing w:before="0" w:after="283"/>
              <w:jc w:val="right"/>
              <w:rPr>
                <w:sz w:val="16"/>
              </w:rPr>
            </w:pPr>
            <w:r>
              <w:rPr>
                <w:sz w:val="16"/>
              </w:rPr>
              <w:t>(77,328</w:t>
            </w:r>
          </w:p>
        </w:tc>
        <w:tc>
          <w:tcPr>
            <w:tcW w:w="80" w:type="dxa"/>
            <w:tcBorders/>
            <w:shd w:fill="FFFFFF" w:val="clear"/>
            <w:vAlign w:val="center"/>
          </w:tcPr>
          <w:p>
            <w:pPr>
              <w:pStyle w:val="TableContents"/>
              <w:bidi w:val="0"/>
              <w:spacing w:before="0" w:after="283"/>
              <w:jc w:val="lef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619"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88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9"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62" w:type="dxa"/>
            <w:tcBorders/>
            <w:shd w:fill="FFFFFF" w:val="clear"/>
            <w:vAlign w:val="center"/>
          </w:tcPr>
          <w:p>
            <w:pPr>
              <w:pStyle w:val="TableContents"/>
              <w:bidi w:val="0"/>
              <w:spacing w:before="0" w:after="283"/>
              <w:jc w:val="right"/>
              <w:rPr>
                <w:sz w:val="16"/>
              </w:rPr>
            </w:pPr>
            <w:r>
              <w:rPr>
                <w:sz w:val="16"/>
              </w:rPr>
              <w:t>(106,090</w:t>
            </w:r>
          </w:p>
        </w:tc>
        <w:tc>
          <w:tcPr>
            <w:tcW w:w="101" w:type="dxa"/>
            <w:tcBorders/>
            <w:shd w:fill="FFFFFF" w:val="clear"/>
            <w:vAlign w:val="center"/>
          </w:tcPr>
          <w:p>
            <w:pPr>
              <w:pStyle w:val="TableContents"/>
              <w:bidi w:val="0"/>
              <w:spacing w:before="0" w:after="283"/>
              <w:jc w:val="left"/>
              <w:rPr>
                <w:sz w:val="16"/>
              </w:rPr>
            </w:pPr>
            <w:r>
              <w:rPr>
                <w:sz w:val="16"/>
              </w:rPr>
              <w:t>)</w:t>
            </w:r>
          </w:p>
        </w:tc>
      </w:tr>
      <w:tr>
        <w:trPr/>
        <w:tc>
          <w:tcPr>
            <w:tcW w:w="326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736"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866"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89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9"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88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9"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62" w:type="dxa"/>
            <w:tcBorders/>
            <w:shd w:fill="CCEEFF" w:val="clear"/>
            <w:vAlign w:val="center"/>
          </w:tcPr>
          <w:p>
            <w:pPr>
              <w:pStyle w:val="TableContents"/>
              <w:bidi w:val="0"/>
              <w:spacing w:before="0" w:after="283"/>
              <w:jc w:val="right"/>
              <w:rPr/>
            </w:pPr>
            <w:r>
              <w:rPr/>
              <w:t> </w:t>
            </w:r>
          </w:p>
        </w:tc>
        <w:tc>
          <w:tcPr>
            <w:tcW w:w="101" w:type="dxa"/>
            <w:tcBorders/>
            <w:shd w:fill="CCEEFF" w:val="clear"/>
            <w:vAlign w:val="center"/>
          </w:tcPr>
          <w:p>
            <w:pPr>
              <w:pStyle w:val="TableContents"/>
              <w:bidi w:val="0"/>
              <w:spacing w:before="0" w:after="283"/>
              <w:jc w:val="left"/>
              <w:rPr/>
            </w:pPr>
            <w:r>
              <w:rPr/>
              <w:t> </w:t>
            </w:r>
          </w:p>
        </w:tc>
      </w:tr>
      <w:tr>
        <w:trPr/>
        <w:tc>
          <w:tcPr>
            <w:tcW w:w="3267" w:type="dxa"/>
            <w:tcBorders/>
            <w:shd w:fill="FFFFFF" w:val="clear"/>
            <w:vAlign w:val="center"/>
          </w:tcPr>
          <w:p>
            <w:pPr>
              <w:pStyle w:val="TableContents"/>
              <w:bidi w:val="0"/>
              <w:spacing w:before="0" w:after="283"/>
              <w:jc w:val="left"/>
              <w:rPr>
                <w:sz w:val="16"/>
              </w:rPr>
            </w:pPr>
            <w:r>
              <w:rPr>
                <w:sz w:val="16"/>
              </w:rPr>
              <w:t>Other income (expense):</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89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9"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88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9"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62" w:type="dxa"/>
            <w:tcBorders/>
            <w:shd w:fill="FFFFFF" w:val="clear"/>
            <w:vAlign w:val="center"/>
          </w:tcPr>
          <w:p>
            <w:pPr>
              <w:pStyle w:val="TableContents"/>
              <w:bidi w:val="0"/>
              <w:spacing w:before="0" w:after="283"/>
              <w:jc w:val="right"/>
              <w:rPr/>
            </w:pPr>
            <w:r>
              <w:rPr/>
              <w:t> </w:t>
            </w:r>
          </w:p>
        </w:tc>
        <w:tc>
          <w:tcPr>
            <w:tcW w:w="101" w:type="dxa"/>
            <w:tcBorders/>
            <w:shd w:fill="FFFFFF" w:val="clear"/>
            <w:vAlign w:val="center"/>
          </w:tcPr>
          <w:p>
            <w:pPr>
              <w:pStyle w:val="TableContents"/>
              <w:bidi w:val="0"/>
              <w:spacing w:before="0" w:after="283"/>
              <w:jc w:val="left"/>
              <w:rPr/>
            </w:pPr>
            <w:r>
              <w:rPr/>
              <w:t> </w:t>
            </w:r>
          </w:p>
        </w:tc>
      </w:tr>
      <w:tr>
        <w:trPr/>
        <w:tc>
          <w:tcPr>
            <w:tcW w:w="3267" w:type="dxa"/>
            <w:tcBorders/>
            <w:shd w:fill="CCEEFF" w:val="clear"/>
            <w:vAlign w:val="center"/>
          </w:tcPr>
          <w:p>
            <w:pPr>
              <w:pStyle w:val="TableContents"/>
              <w:bidi w:val="0"/>
              <w:spacing w:before="0" w:after="283"/>
              <w:jc w:val="left"/>
              <w:rPr>
                <w:sz w:val="16"/>
              </w:rPr>
            </w:pPr>
            <w:r>
              <w:rPr>
                <w:sz w:val="16"/>
              </w:rPr>
              <w:t>Interest expense</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736" w:type="dxa"/>
            <w:tcBorders/>
            <w:shd w:fill="CCEEFF" w:val="clear"/>
            <w:vAlign w:val="center"/>
          </w:tcPr>
          <w:p>
            <w:pPr>
              <w:pStyle w:val="TableContents"/>
              <w:bidi w:val="0"/>
              <w:spacing w:before="0" w:after="283"/>
              <w:jc w:val="right"/>
              <w:rPr>
                <w:sz w:val="16"/>
              </w:rPr>
            </w:pPr>
            <w:r>
              <w:rPr>
                <w:sz w:val="16"/>
              </w:rPr>
              <w:t>(1,855</w:t>
            </w:r>
          </w:p>
        </w:tc>
        <w:tc>
          <w:tcPr>
            <w:tcW w:w="80"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866" w:type="dxa"/>
            <w:tcBorders/>
            <w:shd w:fill="CCEEFF" w:val="clear"/>
            <w:vAlign w:val="center"/>
          </w:tcPr>
          <w:p>
            <w:pPr>
              <w:pStyle w:val="TableContents"/>
              <w:bidi w:val="0"/>
              <w:spacing w:before="0" w:after="283"/>
              <w:jc w:val="right"/>
              <w:rPr>
                <w:sz w:val="16"/>
              </w:rPr>
            </w:pPr>
            <w:r>
              <w:rPr>
                <w:sz w:val="16"/>
              </w:rPr>
              <w:t>(41,859</w:t>
            </w:r>
          </w:p>
        </w:tc>
        <w:tc>
          <w:tcPr>
            <w:tcW w:w="80"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899" w:type="dxa"/>
            <w:tcBorders/>
            <w:shd w:fill="CCEEFF" w:val="clear"/>
            <w:vAlign w:val="center"/>
          </w:tcPr>
          <w:p>
            <w:pPr>
              <w:pStyle w:val="TableContents"/>
              <w:bidi w:val="0"/>
              <w:spacing w:before="0" w:after="283"/>
              <w:jc w:val="right"/>
              <w:rPr>
                <w:sz w:val="16"/>
              </w:rPr>
            </w:pPr>
            <w:r>
              <w:rPr>
                <w:sz w:val="16"/>
              </w:rPr>
              <w:t>41,859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9" w:type="dxa"/>
            <w:tcBorders/>
            <w:shd w:fill="CCEEFF" w:val="clear"/>
            <w:vAlign w:val="center"/>
          </w:tcPr>
          <w:p>
            <w:pPr>
              <w:pStyle w:val="TableContents"/>
              <w:bidi w:val="0"/>
              <w:spacing w:before="0" w:after="283"/>
              <w:jc w:val="center"/>
              <w:rPr>
                <w:sz w:val="16"/>
              </w:rPr>
            </w:pPr>
            <w:r>
              <w:rPr>
                <w:sz w:val="16"/>
              </w:rPr>
              <w:t>(l)</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880" w:type="dxa"/>
            <w:tcBorders/>
            <w:shd w:fill="CCEEFF" w:val="clear"/>
            <w:vAlign w:val="center"/>
          </w:tcPr>
          <w:p>
            <w:pPr>
              <w:pStyle w:val="TableContents"/>
              <w:bidi w:val="0"/>
              <w:spacing w:before="0" w:after="283"/>
              <w:jc w:val="right"/>
              <w:rPr>
                <w:sz w:val="16"/>
              </w:rPr>
            </w:pPr>
            <w:r>
              <w:rPr>
                <w:sz w:val="16"/>
              </w:rPr>
              <w:t>(141,357</w:t>
            </w:r>
          </w:p>
        </w:tc>
        <w:tc>
          <w:tcPr>
            <w:tcW w:w="80"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619" w:type="dxa"/>
            <w:tcBorders/>
            <w:shd w:fill="CCEEFF" w:val="clear"/>
            <w:vAlign w:val="center"/>
          </w:tcPr>
          <w:p>
            <w:pPr>
              <w:pStyle w:val="TableContents"/>
              <w:bidi w:val="0"/>
              <w:spacing w:before="0" w:after="283"/>
              <w:jc w:val="center"/>
              <w:rPr>
                <w:sz w:val="16"/>
              </w:rPr>
            </w:pPr>
            <w:r>
              <w:rPr>
                <w:sz w:val="16"/>
              </w:rPr>
              <w:t>(b)</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62" w:type="dxa"/>
            <w:tcBorders/>
            <w:shd w:fill="CCEEFF" w:val="clear"/>
            <w:vAlign w:val="center"/>
          </w:tcPr>
          <w:p>
            <w:pPr>
              <w:pStyle w:val="TableContents"/>
              <w:bidi w:val="0"/>
              <w:spacing w:before="0" w:after="283"/>
              <w:jc w:val="right"/>
              <w:rPr>
                <w:sz w:val="16"/>
              </w:rPr>
            </w:pPr>
            <w:r>
              <w:rPr>
                <w:sz w:val="16"/>
              </w:rPr>
              <w:t>(143,212</w:t>
            </w:r>
          </w:p>
        </w:tc>
        <w:tc>
          <w:tcPr>
            <w:tcW w:w="101" w:type="dxa"/>
            <w:tcBorders/>
            <w:shd w:fill="CCEEFF" w:val="clear"/>
            <w:vAlign w:val="center"/>
          </w:tcPr>
          <w:p>
            <w:pPr>
              <w:pStyle w:val="TableContents"/>
              <w:bidi w:val="0"/>
              <w:spacing w:before="0" w:after="283"/>
              <w:jc w:val="left"/>
              <w:rPr>
                <w:sz w:val="16"/>
              </w:rPr>
            </w:pPr>
            <w:r>
              <w:rPr>
                <w:sz w:val="16"/>
              </w:rPr>
              <w:t>)</w:t>
            </w:r>
          </w:p>
        </w:tc>
      </w:tr>
      <w:tr>
        <w:trPr/>
        <w:tc>
          <w:tcPr>
            <w:tcW w:w="3267" w:type="dxa"/>
            <w:tcBorders/>
            <w:shd w:fill="FFFFFF" w:val="clear"/>
            <w:vAlign w:val="center"/>
          </w:tcPr>
          <w:p>
            <w:pPr>
              <w:pStyle w:val="TableContents"/>
              <w:bidi w:val="0"/>
              <w:spacing w:before="0" w:after="283"/>
              <w:jc w:val="left"/>
              <w:rPr>
                <w:sz w:val="16"/>
              </w:rPr>
            </w:pPr>
            <w:r>
              <w:rPr>
                <w:sz w:val="16"/>
              </w:rPr>
              <w:t>Interest income</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sz w:val="16"/>
              </w:rPr>
            </w:pPr>
            <w:r>
              <w:rPr>
                <w:sz w:val="16"/>
              </w:rPr>
              <w:t>26,635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right"/>
              <w:rPr>
                <w:sz w:val="16"/>
              </w:rPr>
            </w:pPr>
            <w:r>
              <w:rPr>
                <w:sz w:val="16"/>
              </w:rPr>
              <w:t>3,247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899"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9"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88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9"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62" w:type="dxa"/>
            <w:tcBorders/>
            <w:shd w:fill="FFFFFF" w:val="clear"/>
            <w:vAlign w:val="center"/>
          </w:tcPr>
          <w:p>
            <w:pPr>
              <w:pStyle w:val="TableContents"/>
              <w:bidi w:val="0"/>
              <w:spacing w:before="0" w:after="283"/>
              <w:jc w:val="right"/>
              <w:rPr>
                <w:sz w:val="16"/>
              </w:rPr>
            </w:pPr>
            <w:r>
              <w:rPr>
                <w:sz w:val="16"/>
              </w:rPr>
              <w:t>29,882</w:t>
            </w:r>
          </w:p>
        </w:tc>
        <w:tc>
          <w:tcPr>
            <w:tcW w:w="101" w:type="dxa"/>
            <w:tcBorders/>
            <w:shd w:fill="FFFFFF" w:val="clear"/>
            <w:vAlign w:val="center"/>
          </w:tcPr>
          <w:p>
            <w:pPr>
              <w:pStyle w:val="TableContents"/>
              <w:bidi w:val="0"/>
              <w:spacing w:before="0" w:after="283"/>
              <w:jc w:val="left"/>
              <w:rPr/>
            </w:pPr>
            <w:r>
              <w:rPr/>
              <w:t> </w:t>
            </w:r>
          </w:p>
        </w:tc>
      </w:tr>
      <w:tr>
        <w:trPr/>
        <w:tc>
          <w:tcPr>
            <w:tcW w:w="3267" w:type="dxa"/>
            <w:tcBorders/>
            <w:shd w:fill="CCEEFF" w:val="clear"/>
            <w:vAlign w:val="center"/>
          </w:tcPr>
          <w:p>
            <w:pPr>
              <w:pStyle w:val="TableContents"/>
              <w:bidi w:val="0"/>
              <w:spacing w:before="0" w:after="283"/>
              <w:jc w:val="left"/>
              <w:rPr>
                <w:sz w:val="16"/>
              </w:rPr>
            </w:pPr>
            <w:r>
              <w:rPr>
                <w:sz w:val="16"/>
              </w:rPr>
              <w:t>Loss on foreign exchange</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736" w:type="dxa"/>
            <w:tcBorders/>
            <w:shd w:fill="CCEEFF" w:val="clear"/>
            <w:vAlign w:val="center"/>
          </w:tcPr>
          <w:p>
            <w:pPr>
              <w:pStyle w:val="TableContents"/>
              <w:bidi w:val="0"/>
              <w:spacing w:before="0" w:after="283"/>
              <w:jc w:val="right"/>
              <w:rPr>
                <w:sz w:val="16"/>
              </w:rPr>
            </w:pPr>
            <w:r>
              <w:rPr>
                <w:sz w:val="16"/>
              </w:rPr>
              <w:t>(1,798</w:t>
            </w:r>
          </w:p>
        </w:tc>
        <w:tc>
          <w:tcPr>
            <w:tcW w:w="80"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866" w:type="dxa"/>
            <w:tcBorders/>
            <w:shd w:fill="CCEEFF" w:val="clear"/>
            <w:vAlign w:val="center"/>
          </w:tcPr>
          <w:p>
            <w:pPr>
              <w:pStyle w:val="TableContents"/>
              <w:bidi w:val="0"/>
              <w:spacing w:before="0" w:after="283"/>
              <w:jc w:val="right"/>
              <w:rPr>
                <w:sz w:val="16"/>
              </w:rPr>
            </w:pPr>
            <w:r>
              <w:rPr>
                <w:sz w:val="16"/>
              </w:rPr>
              <w:t>(645</w:t>
            </w:r>
          </w:p>
        </w:tc>
        <w:tc>
          <w:tcPr>
            <w:tcW w:w="80"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899"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9"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88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9"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62" w:type="dxa"/>
            <w:tcBorders/>
            <w:shd w:fill="CCEEFF" w:val="clear"/>
            <w:vAlign w:val="center"/>
          </w:tcPr>
          <w:p>
            <w:pPr>
              <w:pStyle w:val="TableContents"/>
              <w:bidi w:val="0"/>
              <w:spacing w:before="0" w:after="283"/>
              <w:jc w:val="right"/>
              <w:rPr>
                <w:sz w:val="16"/>
              </w:rPr>
            </w:pPr>
            <w:r>
              <w:rPr>
                <w:sz w:val="16"/>
              </w:rPr>
              <w:t>(2,443</w:t>
            </w:r>
          </w:p>
        </w:tc>
        <w:tc>
          <w:tcPr>
            <w:tcW w:w="101" w:type="dxa"/>
            <w:tcBorders/>
            <w:shd w:fill="CCEEFF" w:val="clear"/>
            <w:vAlign w:val="center"/>
          </w:tcPr>
          <w:p>
            <w:pPr>
              <w:pStyle w:val="TableContents"/>
              <w:bidi w:val="0"/>
              <w:spacing w:before="0" w:after="283"/>
              <w:jc w:val="left"/>
              <w:rPr>
                <w:sz w:val="16"/>
              </w:rPr>
            </w:pPr>
            <w:r>
              <w:rPr>
                <w:sz w:val="16"/>
              </w:rPr>
              <w:t>)</w:t>
            </w:r>
          </w:p>
        </w:tc>
      </w:tr>
      <w:tr>
        <w:trPr/>
        <w:tc>
          <w:tcPr>
            <w:tcW w:w="3267" w:type="dxa"/>
            <w:tcBorders/>
            <w:shd w:fill="FFFFFF" w:val="clear"/>
            <w:vAlign w:val="center"/>
          </w:tcPr>
          <w:p>
            <w:pPr>
              <w:pStyle w:val="TableContents"/>
              <w:bidi w:val="0"/>
              <w:spacing w:before="0" w:after="283"/>
              <w:jc w:val="left"/>
              <w:rPr>
                <w:sz w:val="16"/>
              </w:rPr>
            </w:pPr>
            <w:r>
              <w:rPr>
                <w:sz w:val="16"/>
              </w:rPr>
              <w:t>Other income, net</w:t>
            </w:r>
          </w:p>
        </w:tc>
        <w:tc>
          <w:tcPr>
            <w:tcW w:w="60" w:type="dxa"/>
            <w:tcBorders/>
            <w:shd w:fill="FFFFFF" w:val="clear"/>
            <w:vAlign w:val="center"/>
          </w:tcPr>
          <w:p>
            <w:pPr>
              <w:pStyle w:val="TableContents"/>
              <w:bidi w:val="0"/>
              <w:spacing w:before="0" w:after="283"/>
              <w:jc w:val="left"/>
              <w:rPr/>
            </w:pPr>
            <w:r>
              <w:rPr/>
              <w:t> </w:t>
            </w:r>
          </w:p>
        </w:tc>
        <w:tc>
          <w:tcPr>
            <w:tcW w:w="12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36" w:type="dxa"/>
            <w:tcBorders>
              <w:bottom w:val="single" w:sz="8" w:space="0" w:color="000000"/>
            </w:tcBorders>
            <w:shd w:fill="FFFFFF" w:val="clear"/>
            <w:tcMar>
              <w:bottom w:w="28" w:type="dxa"/>
            </w:tcMar>
            <w:vAlign w:val="center"/>
          </w:tcPr>
          <w:p>
            <w:pPr>
              <w:pStyle w:val="TableContents"/>
              <w:bidi w:val="0"/>
              <w:spacing w:before="0" w:after="283"/>
              <w:jc w:val="right"/>
              <w:rPr>
                <w:sz w:val="16"/>
              </w:rPr>
            </w:pPr>
            <w:r>
              <w:rPr>
                <w:sz w:val="16"/>
              </w:rPr>
              <w:t>(244</w:t>
            </w:r>
          </w:p>
        </w:tc>
        <w:tc>
          <w:tcPr>
            <w:tcW w:w="80" w:type="dxa"/>
            <w:tcBorders/>
            <w:shd w:fill="FFFFFF" w:val="clear"/>
            <w:vAlign w:val="center"/>
          </w:tcPr>
          <w:p>
            <w:pPr>
              <w:pStyle w:val="TableContents"/>
              <w:bidi w:val="0"/>
              <w:spacing w:before="0" w:after="283"/>
              <w:jc w:val="lef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15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66" w:type="dxa"/>
            <w:tcBorders>
              <w:bottom w:val="single" w:sz="8" w:space="0" w:color="000000"/>
            </w:tcBorders>
            <w:shd w:fill="FFFFFF" w:val="clear"/>
            <w:tcMar>
              <w:bottom w:w="28" w:type="dxa"/>
            </w:tcMar>
            <w:vAlign w:val="center"/>
          </w:tcPr>
          <w:p>
            <w:pPr>
              <w:pStyle w:val="TableContents"/>
              <w:bidi w:val="0"/>
              <w:spacing w:before="0" w:after="283"/>
              <w:jc w:val="right"/>
              <w:rPr>
                <w:sz w:val="16"/>
              </w:rPr>
            </w:pPr>
            <w:r>
              <w:rPr>
                <w:sz w:val="16"/>
              </w:rPr>
              <w:t>(2,239</w:t>
            </w:r>
          </w:p>
        </w:tc>
        <w:tc>
          <w:tcPr>
            <w:tcW w:w="80" w:type="dxa"/>
            <w:tcBorders/>
            <w:shd w:fill="FFFFFF" w:val="clear"/>
            <w:vAlign w:val="center"/>
          </w:tcPr>
          <w:p>
            <w:pPr>
              <w:pStyle w:val="TableContents"/>
              <w:bidi w:val="0"/>
              <w:spacing w:before="0" w:after="283"/>
              <w:jc w:val="lef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16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9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9"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9"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62" w:type="dxa"/>
            <w:tcBorders>
              <w:bottom w:val="single" w:sz="8" w:space="0" w:color="000000"/>
            </w:tcBorders>
            <w:shd w:fill="FFFFFF" w:val="clear"/>
            <w:tcMar>
              <w:bottom w:w="28" w:type="dxa"/>
            </w:tcMar>
            <w:vAlign w:val="center"/>
          </w:tcPr>
          <w:p>
            <w:pPr>
              <w:pStyle w:val="TableContents"/>
              <w:bidi w:val="0"/>
              <w:spacing w:before="0" w:after="283"/>
              <w:jc w:val="right"/>
              <w:rPr>
                <w:sz w:val="16"/>
              </w:rPr>
            </w:pPr>
            <w:r>
              <w:rPr>
                <w:sz w:val="16"/>
              </w:rPr>
              <w:t>(2,483</w:t>
            </w:r>
          </w:p>
        </w:tc>
        <w:tc>
          <w:tcPr>
            <w:tcW w:w="101" w:type="dxa"/>
            <w:tcBorders/>
            <w:shd w:fill="FFFFFF" w:val="clear"/>
            <w:vAlign w:val="center"/>
          </w:tcPr>
          <w:p>
            <w:pPr>
              <w:pStyle w:val="TableContents"/>
              <w:bidi w:val="0"/>
              <w:spacing w:before="0" w:after="283"/>
              <w:jc w:val="left"/>
              <w:rPr>
                <w:sz w:val="16"/>
              </w:rPr>
            </w:pPr>
            <w:r>
              <w:rPr>
                <w:sz w:val="16"/>
              </w:rPr>
              <w:t>)</w:t>
            </w:r>
          </w:p>
        </w:tc>
      </w:tr>
      <w:tr>
        <w:trPr/>
        <w:tc>
          <w:tcPr>
            <w:tcW w:w="3267" w:type="dxa"/>
            <w:tcBorders/>
            <w:shd w:fill="CCEEFF" w:val="clear"/>
            <w:vAlign w:val="center"/>
          </w:tcPr>
          <w:p>
            <w:pPr>
              <w:pStyle w:val="TableContents"/>
              <w:bidi w:val="0"/>
              <w:spacing w:before="0" w:after="283"/>
              <w:jc w:val="left"/>
              <w:rPr>
                <w:sz w:val="16"/>
              </w:rPr>
            </w:pPr>
            <w:r>
              <w:rPr>
                <w:sz w:val="16"/>
              </w:rPr>
              <w:t>Total other income (expense), net</w:t>
            </w:r>
          </w:p>
        </w:tc>
        <w:tc>
          <w:tcPr>
            <w:tcW w:w="60" w:type="dxa"/>
            <w:tcBorders/>
            <w:shd w:fill="CCEEFF" w:val="clear"/>
            <w:vAlign w:val="center"/>
          </w:tcPr>
          <w:p>
            <w:pPr>
              <w:pStyle w:val="TableContents"/>
              <w:bidi w:val="0"/>
              <w:spacing w:before="0" w:after="283"/>
              <w:jc w:val="left"/>
              <w:rPr/>
            </w:pPr>
            <w:r>
              <w:rPr/>
              <w:t> </w:t>
            </w:r>
          </w:p>
        </w:tc>
        <w:tc>
          <w:tcPr>
            <w:tcW w:w="12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36" w:type="dxa"/>
            <w:tcBorders>
              <w:bottom w:val="single" w:sz="8" w:space="0" w:color="000000"/>
            </w:tcBorders>
            <w:shd w:fill="CCEEFF" w:val="clear"/>
            <w:tcMar>
              <w:bottom w:w="28" w:type="dxa"/>
            </w:tcMar>
            <w:vAlign w:val="center"/>
          </w:tcPr>
          <w:p>
            <w:pPr>
              <w:pStyle w:val="TableContents"/>
              <w:bidi w:val="0"/>
              <w:spacing w:before="0" w:after="283"/>
              <w:jc w:val="right"/>
              <w:rPr>
                <w:sz w:val="16"/>
              </w:rPr>
            </w:pPr>
            <w:r>
              <w:rPr>
                <w:sz w:val="16"/>
              </w:rPr>
              <w:t>22,738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66" w:type="dxa"/>
            <w:tcBorders>
              <w:bottom w:val="single" w:sz="8" w:space="0" w:color="000000"/>
            </w:tcBorders>
            <w:shd w:fill="CCEEFF" w:val="clear"/>
            <w:tcMar>
              <w:bottom w:w="28" w:type="dxa"/>
            </w:tcMar>
            <w:vAlign w:val="center"/>
          </w:tcPr>
          <w:p>
            <w:pPr>
              <w:pStyle w:val="TableContents"/>
              <w:bidi w:val="0"/>
              <w:spacing w:before="0" w:after="283"/>
              <w:jc w:val="right"/>
              <w:rPr>
                <w:sz w:val="16"/>
              </w:rPr>
            </w:pPr>
            <w:r>
              <w:rPr>
                <w:sz w:val="16"/>
              </w:rPr>
              <w:t>(41,496</w:t>
            </w:r>
          </w:p>
        </w:tc>
        <w:tc>
          <w:tcPr>
            <w:tcW w:w="80"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16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99" w:type="dxa"/>
            <w:tcBorders>
              <w:bottom w:val="single" w:sz="8" w:space="0" w:color="000000"/>
            </w:tcBorders>
            <w:shd w:fill="CCEEFF" w:val="clear"/>
            <w:tcMar>
              <w:bottom w:w="28" w:type="dxa"/>
            </w:tcMar>
            <w:vAlign w:val="center"/>
          </w:tcPr>
          <w:p>
            <w:pPr>
              <w:pStyle w:val="TableContents"/>
              <w:bidi w:val="0"/>
              <w:spacing w:before="0" w:after="283"/>
              <w:jc w:val="right"/>
              <w:rPr>
                <w:sz w:val="16"/>
              </w:rPr>
            </w:pPr>
            <w:r>
              <w:rPr>
                <w:sz w:val="16"/>
              </w:rPr>
              <w:t>41,859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9"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80" w:type="dxa"/>
            <w:tcBorders>
              <w:bottom w:val="single" w:sz="8" w:space="0" w:color="000000"/>
            </w:tcBorders>
            <w:shd w:fill="CCEEFF" w:val="clear"/>
            <w:tcMar>
              <w:bottom w:w="28" w:type="dxa"/>
            </w:tcMar>
            <w:vAlign w:val="center"/>
          </w:tcPr>
          <w:p>
            <w:pPr>
              <w:pStyle w:val="TableContents"/>
              <w:bidi w:val="0"/>
              <w:spacing w:before="0" w:after="283"/>
              <w:jc w:val="right"/>
              <w:rPr>
                <w:sz w:val="16"/>
              </w:rPr>
            </w:pPr>
            <w:r>
              <w:rPr>
                <w:sz w:val="16"/>
              </w:rPr>
              <w:t>(141,357</w:t>
            </w:r>
          </w:p>
        </w:tc>
        <w:tc>
          <w:tcPr>
            <w:tcW w:w="80"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619"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62" w:type="dxa"/>
            <w:tcBorders>
              <w:bottom w:val="single" w:sz="8" w:space="0" w:color="000000"/>
            </w:tcBorders>
            <w:shd w:fill="CCEEFF" w:val="clear"/>
            <w:tcMar>
              <w:bottom w:w="28" w:type="dxa"/>
            </w:tcMar>
            <w:vAlign w:val="center"/>
          </w:tcPr>
          <w:p>
            <w:pPr>
              <w:pStyle w:val="TableContents"/>
              <w:bidi w:val="0"/>
              <w:spacing w:before="0" w:after="283"/>
              <w:jc w:val="right"/>
              <w:rPr>
                <w:sz w:val="16"/>
              </w:rPr>
            </w:pPr>
            <w:r>
              <w:rPr>
                <w:sz w:val="16"/>
              </w:rPr>
              <w:t>(118,256</w:t>
            </w:r>
          </w:p>
        </w:tc>
        <w:tc>
          <w:tcPr>
            <w:tcW w:w="101" w:type="dxa"/>
            <w:tcBorders/>
            <w:shd w:fill="CCEEFF" w:val="clear"/>
            <w:vAlign w:val="center"/>
          </w:tcPr>
          <w:p>
            <w:pPr>
              <w:pStyle w:val="TableContents"/>
              <w:bidi w:val="0"/>
              <w:spacing w:before="0" w:after="283"/>
              <w:jc w:val="left"/>
              <w:rPr>
                <w:sz w:val="16"/>
              </w:rPr>
            </w:pPr>
            <w:r>
              <w:rPr>
                <w:sz w:val="16"/>
              </w:rPr>
              <w:t>)</w:t>
            </w:r>
          </w:p>
        </w:tc>
      </w:tr>
      <w:tr>
        <w:trPr/>
        <w:tc>
          <w:tcPr>
            <w:tcW w:w="3267" w:type="dxa"/>
            <w:tcBorders/>
            <w:shd w:fill="FFFFFF" w:val="clear"/>
            <w:vAlign w:val="center"/>
          </w:tcPr>
          <w:p>
            <w:pPr>
              <w:pStyle w:val="TableContents"/>
              <w:bidi w:val="0"/>
              <w:spacing w:before="0" w:after="283"/>
              <w:jc w:val="left"/>
              <w:rPr>
                <w:sz w:val="16"/>
              </w:rPr>
            </w:pPr>
            <w:r>
              <w:rPr>
                <w:sz w:val="16"/>
              </w:rPr>
              <w:t>Income (loss) before income taxes</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sz w:val="16"/>
              </w:rPr>
            </w:pPr>
            <w:r>
              <w:rPr>
                <w:sz w:val="16"/>
              </w:rPr>
              <w:t>(90,745</w:t>
            </w:r>
          </w:p>
        </w:tc>
        <w:tc>
          <w:tcPr>
            <w:tcW w:w="80" w:type="dxa"/>
            <w:tcBorders/>
            <w:shd w:fill="FFFFFF" w:val="clear"/>
            <w:vAlign w:val="center"/>
          </w:tcPr>
          <w:p>
            <w:pPr>
              <w:pStyle w:val="TableContents"/>
              <w:bidi w:val="0"/>
              <w:spacing w:before="0" w:after="283"/>
              <w:jc w:val="lef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right"/>
              <w:rPr>
                <w:sz w:val="16"/>
              </w:rPr>
            </w:pPr>
            <w:r>
              <w:rPr>
                <w:sz w:val="16"/>
              </w:rPr>
              <w:t>43,225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899" w:type="dxa"/>
            <w:tcBorders/>
            <w:shd w:fill="FFFFFF" w:val="clear"/>
            <w:vAlign w:val="center"/>
          </w:tcPr>
          <w:p>
            <w:pPr>
              <w:pStyle w:val="TableContents"/>
              <w:bidi w:val="0"/>
              <w:spacing w:before="0" w:after="283"/>
              <w:jc w:val="right"/>
              <w:rPr>
                <w:sz w:val="16"/>
              </w:rPr>
            </w:pPr>
            <w:r>
              <w:rPr>
                <w:sz w:val="16"/>
              </w:rPr>
              <w:t>(35,469</w:t>
            </w:r>
          </w:p>
        </w:tc>
        <w:tc>
          <w:tcPr>
            <w:tcW w:w="80" w:type="dxa"/>
            <w:tcBorders/>
            <w:shd w:fill="FFFFFF" w:val="clear"/>
            <w:vAlign w:val="center"/>
          </w:tcPr>
          <w:p>
            <w:pPr>
              <w:pStyle w:val="TableContents"/>
              <w:bidi w:val="0"/>
              <w:spacing w:before="0" w:after="283"/>
              <w:jc w:val="lef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619"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880" w:type="dxa"/>
            <w:tcBorders/>
            <w:shd w:fill="FFFFFF" w:val="clear"/>
            <w:vAlign w:val="center"/>
          </w:tcPr>
          <w:p>
            <w:pPr>
              <w:pStyle w:val="TableContents"/>
              <w:bidi w:val="0"/>
              <w:spacing w:before="0" w:after="283"/>
              <w:jc w:val="right"/>
              <w:rPr>
                <w:sz w:val="16"/>
              </w:rPr>
            </w:pPr>
            <w:r>
              <w:rPr>
                <w:sz w:val="16"/>
              </w:rPr>
              <w:t>(141,357</w:t>
            </w:r>
          </w:p>
        </w:tc>
        <w:tc>
          <w:tcPr>
            <w:tcW w:w="80" w:type="dxa"/>
            <w:tcBorders/>
            <w:shd w:fill="FFFFFF" w:val="clear"/>
            <w:vAlign w:val="center"/>
          </w:tcPr>
          <w:p>
            <w:pPr>
              <w:pStyle w:val="TableContents"/>
              <w:bidi w:val="0"/>
              <w:spacing w:before="0" w:after="283"/>
              <w:jc w:val="lef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619"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62" w:type="dxa"/>
            <w:tcBorders/>
            <w:shd w:fill="FFFFFF" w:val="clear"/>
            <w:vAlign w:val="center"/>
          </w:tcPr>
          <w:p>
            <w:pPr>
              <w:pStyle w:val="TableContents"/>
              <w:bidi w:val="0"/>
              <w:spacing w:before="0" w:after="283"/>
              <w:jc w:val="right"/>
              <w:rPr>
                <w:sz w:val="16"/>
              </w:rPr>
            </w:pPr>
            <w:r>
              <w:rPr>
                <w:sz w:val="16"/>
              </w:rPr>
              <w:t>(224,346</w:t>
            </w:r>
          </w:p>
        </w:tc>
        <w:tc>
          <w:tcPr>
            <w:tcW w:w="101" w:type="dxa"/>
            <w:tcBorders/>
            <w:shd w:fill="FFFFFF" w:val="clear"/>
            <w:vAlign w:val="center"/>
          </w:tcPr>
          <w:p>
            <w:pPr>
              <w:pStyle w:val="TableContents"/>
              <w:bidi w:val="0"/>
              <w:spacing w:before="0" w:after="283"/>
              <w:jc w:val="left"/>
              <w:rPr>
                <w:sz w:val="16"/>
              </w:rPr>
            </w:pPr>
            <w:r>
              <w:rPr>
                <w:sz w:val="16"/>
              </w:rPr>
              <w:t>)</w:t>
            </w:r>
          </w:p>
        </w:tc>
      </w:tr>
      <w:tr>
        <w:trPr/>
        <w:tc>
          <w:tcPr>
            <w:tcW w:w="326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736"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866"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89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9"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88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9"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62" w:type="dxa"/>
            <w:tcBorders/>
            <w:shd w:fill="CCEEFF" w:val="clear"/>
            <w:vAlign w:val="center"/>
          </w:tcPr>
          <w:p>
            <w:pPr>
              <w:pStyle w:val="TableContents"/>
              <w:bidi w:val="0"/>
              <w:spacing w:before="0" w:after="283"/>
              <w:jc w:val="right"/>
              <w:rPr/>
            </w:pPr>
            <w:r>
              <w:rPr/>
              <w:t> </w:t>
            </w:r>
          </w:p>
        </w:tc>
        <w:tc>
          <w:tcPr>
            <w:tcW w:w="101" w:type="dxa"/>
            <w:tcBorders/>
            <w:shd w:fill="CCEEFF" w:val="clear"/>
            <w:vAlign w:val="center"/>
          </w:tcPr>
          <w:p>
            <w:pPr>
              <w:pStyle w:val="TableContents"/>
              <w:bidi w:val="0"/>
              <w:spacing w:before="0" w:after="283"/>
              <w:jc w:val="left"/>
              <w:rPr/>
            </w:pPr>
            <w:r>
              <w:rPr/>
              <w:t> </w:t>
            </w:r>
          </w:p>
        </w:tc>
      </w:tr>
      <w:tr>
        <w:trPr/>
        <w:tc>
          <w:tcPr>
            <w:tcW w:w="3267" w:type="dxa"/>
            <w:tcBorders/>
            <w:shd w:fill="FFFFFF" w:val="clear"/>
            <w:vAlign w:val="center"/>
          </w:tcPr>
          <w:p>
            <w:pPr>
              <w:pStyle w:val="TableContents"/>
              <w:bidi w:val="0"/>
              <w:spacing w:before="0" w:after="283"/>
              <w:jc w:val="left"/>
              <w:rPr>
                <w:sz w:val="16"/>
              </w:rPr>
            </w:pPr>
            <w:r>
              <w:rPr>
                <w:sz w:val="16"/>
              </w:rPr>
              <w:t>Benefit (provision) for income taxes</w:t>
            </w:r>
          </w:p>
        </w:tc>
        <w:tc>
          <w:tcPr>
            <w:tcW w:w="60" w:type="dxa"/>
            <w:tcBorders/>
            <w:shd w:fill="FFFFFF" w:val="clear"/>
            <w:vAlign w:val="center"/>
          </w:tcPr>
          <w:p>
            <w:pPr>
              <w:pStyle w:val="TableContents"/>
              <w:bidi w:val="0"/>
              <w:spacing w:before="0" w:after="283"/>
              <w:jc w:val="left"/>
              <w:rPr/>
            </w:pPr>
            <w:r>
              <w:rPr/>
              <w:t> </w:t>
            </w:r>
          </w:p>
        </w:tc>
        <w:tc>
          <w:tcPr>
            <w:tcW w:w="12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36" w:type="dxa"/>
            <w:tcBorders>
              <w:bottom w:val="single" w:sz="8" w:space="0" w:color="000000"/>
            </w:tcBorders>
            <w:shd w:fill="FFFFFF" w:val="clear"/>
            <w:tcMar>
              <w:bottom w:w="28" w:type="dxa"/>
            </w:tcMar>
            <w:vAlign w:val="center"/>
          </w:tcPr>
          <w:p>
            <w:pPr>
              <w:pStyle w:val="TableContents"/>
              <w:bidi w:val="0"/>
              <w:spacing w:before="0" w:after="283"/>
              <w:jc w:val="right"/>
              <w:rPr>
                <w:sz w:val="16"/>
              </w:rPr>
            </w:pPr>
            <w:r>
              <w:rPr>
                <w:sz w:val="16"/>
              </w:rPr>
              <w:t>(3,535</w:t>
            </w:r>
          </w:p>
        </w:tc>
        <w:tc>
          <w:tcPr>
            <w:tcW w:w="80" w:type="dxa"/>
            <w:tcBorders/>
            <w:shd w:fill="FFFFFF" w:val="clear"/>
            <w:vAlign w:val="center"/>
          </w:tcPr>
          <w:p>
            <w:pPr>
              <w:pStyle w:val="TableContents"/>
              <w:bidi w:val="0"/>
              <w:spacing w:before="0" w:after="283"/>
              <w:jc w:val="lef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15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66" w:type="dxa"/>
            <w:tcBorders>
              <w:bottom w:val="single" w:sz="8" w:space="0" w:color="000000"/>
            </w:tcBorders>
            <w:shd w:fill="FFFFFF" w:val="clear"/>
            <w:tcMar>
              <w:bottom w:w="28" w:type="dxa"/>
            </w:tcMar>
            <w:vAlign w:val="center"/>
          </w:tcPr>
          <w:p>
            <w:pPr>
              <w:pStyle w:val="TableContents"/>
              <w:bidi w:val="0"/>
              <w:spacing w:before="0" w:after="283"/>
              <w:jc w:val="right"/>
              <w:rPr>
                <w:sz w:val="16"/>
              </w:rPr>
            </w:pPr>
            <w:r>
              <w:rPr>
                <w:sz w:val="16"/>
              </w:rPr>
              <w:t>(11,952</w:t>
            </w:r>
          </w:p>
        </w:tc>
        <w:tc>
          <w:tcPr>
            <w:tcW w:w="80" w:type="dxa"/>
            <w:tcBorders/>
            <w:shd w:fill="FFFFFF" w:val="clear"/>
            <w:vAlign w:val="center"/>
          </w:tcPr>
          <w:p>
            <w:pPr>
              <w:pStyle w:val="TableContents"/>
              <w:bidi w:val="0"/>
              <w:spacing w:before="0" w:after="283"/>
              <w:jc w:val="lef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16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99" w:type="dxa"/>
            <w:tcBorders>
              <w:bottom w:val="single" w:sz="8" w:space="0" w:color="000000"/>
            </w:tcBorders>
            <w:shd w:fill="FFFFFF" w:val="clear"/>
            <w:tcMar>
              <w:bottom w:w="28" w:type="dxa"/>
            </w:tcMar>
            <w:vAlign w:val="center"/>
          </w:tcPr>
          <w:p>
            <w:pPr>
              <w:pStyle w:val="TableContents"/>
              <w:bidi w:val="0"/>
              <w:spacing w:before="0" w:after="283"/>
              <w:jc w:val="right"/>
              <w:rPr>
                <w:sz w:val="16"/>
              </w:rPr>
            </w:pPr>
            <w:r>
              <w:rPr>
                <w:sz w:val="16"/>
              </w:rPr>
              <w:t>52,305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9" w:type="dxa"/>
            <w:tcBorders/>
            <w:shd w:fill="FFFFFF" w:val="clear"/>
            <w:vAlign w:val="center"/>
          </w:tcPr>
          <w:p>
            <w:pPr>
              <w:pStyle w:val="TableContents"/>
              <w:bidi w:val="0"/>
              <w:spacing w:before="0" w:after="283"/>
              <w:jc w:val="center"/>
              <w:rPr>
                <w:sz w:val="16"/>
              </w:rPr>
            </w:pPr>
            <w:r>
              <w:rPr>
                <w:sz w:val="16"/>
              </w:rPr>
              <w:t>(m)</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80" w:type="dxa"/>
            <w:tcBorders>
              <w:bottom w:val="single" w:sz="8" w:space="0" w:color="000000"/>
            </w:tcBorders>
            <w:shd w:fill="FFFFFF" w:val="clear"/>
            <w:tcMar>
              <w:bottom w:w="28" w:type="dxa"/>
            </w:tcMar>
            <w:vAlign w:val="center"/>
          </w:tcPr>
          <w:p>
            <w:pPr>
              <w:pStyle w:val="TableContents"/>
              <w:bidi w:val="0"/>
              <w:spacing w:before="0" w:after="283"/>
              <w:jc w:val="right"/>
              <w:rPr>
                <w:sz w:val="16"/>
              </w:rPr>
            </w:pPr>
            <w:r>
              <w:rPr>
                <w:sz w:val="16"/>
              </w:rPr>
              <w:t>32,851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9" w:type="dxa"/>
            <w:tcBorders/>
            <w:shd w:fill="FFFFFF" w:val="clear"/>
            <w:vAlign w:val="center"/>
          </w:tcPr>
          <w:p>
            <w:pPr>
              <w:pStyle w:val="TableContents"/>
              <w:bidi w:val="0"/>
              <w:spacing w:before="0" w:after="283"/>
              <w:jc w:val="center"/>
              <w:rPr>
                <w:sz w:val="16"/>
              </w:rPr>
            </w:pPr>
            <w:r>
              <w:rPr>
                <w:sz w:val="16"/>
              </w:rPr>
              <w:t>(c)</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62" w:type="dxa"/>
            <w:tcBorders>
              <w:bottom w:val="single" w:sz="8" w:space="0" w:color="000000"/>
            </w:tcBorders>
            <w:shd w:fill="FFFFFF" w:val="clear"/>
            <w:tcMar>
              <w:bottom w:w="28" w:type="dxa"/>
            </w:tcMar>
            <w:vAlign w:val="center"/>
          </w:tcPr>
          <w:p>
            <w:pPr>
              <w:pStyle w:val="TableContents"/>
              <w:bidi w:val="0"/>
              <w:spacing w:before="0" w:after="283"/>
              <w:jc w:val="right"/>
              <w:rPr>
                <w:sz w:val="16"/>
              </w:rPr>
            </w:pPr>
            <w:r>
              <w:rPr>
                <w:sz w:val="16"/>
              </w:rPr>
              <w:t>69,669</w:t>
            </w:r>
          </w:p>
        </w:tc>
        <w:tc>
          <w:tcPr>
            <w:tcW w:w="101" w:type="dxa"/>
            <w:tcBorders/>
            <w:shd w:fill="FFFFFF" w:val="clear"/>
            <w:vAlign w:val="center"/>
          </w:tcPr>
          <w:p>
            <w:pPr>
              <w:pStyle w:val="TableContents"/>
              <w:bidi w:val="0"/>
              <w:spacing w:before="0" w:after="283"/>
              <w:jc w:val="left"/>
              <w:rPr/>
            </w:pPr>
            <w:r>
              <w:rPr/>
              <w:t> </w:t>
            </w:r>
          </w:p>
        </w:tc>
      </w:tr>
      <w:tr>
        <w:trPr/>
        <w:tc>
          <w:tcPr>
            <w:tcW w:w="3267" w:type="dxa"/>
            <w:tcBorders/>
            <w:shd w:fill="CCEEFF" w:val="clear"/>
            <w:vAlign w:val="center"/>
          </w:tcPr>
          <w:p>
            <w:pPr>
              <w:pStyle w:val="TableContents"/>
              <w:bidi w:val="0"/>
              <w:spacing w:before="0" w:after="283"/>
              <w:jc w:val="left"/>
              <w:rPr>
                <w:sz w:val="16"/>
              </w:rPr>
            </w:pPr>
            <w:r>
              <w:rPr>
                <w:sz w:val="16"/>
              </w:rPr>
              <w:t>Net income (loss)</w:t>
            </w:r>
          </w:p>
        </w:tc>
        <w:tc>
          <w:tcPr>
            <w:tcW w:w="60" w:type="dxa"/>
            <w:tcBorders/>
            <w:shd w:fill="CCEEFF" w:val="clear"/>
            <w:vAlign w:val="center"/>
          </w:tcPr>
          <w:p>
            <w:pPr>
              <w:pStyle w:val="TableContents"/>
              <w:bidi w:val="0"/>
              <w:spacing w:before="0" w:after="283"/>
              <w:jc w:val="left"/>
              <w:rPr/>
            </w:pPr>
            <w:r>
              <w:rPr/>
              <w:t> </w:t>
            </w:r>
          </w:p>
        </w:tc>
        <w:tc>
          <w:tcPr>
            <w:tcW w:w="122" w:type="dxa"/>
            <w:tcBorders>
              <w:bottom w:val="double" w:sz="6" w:space="0" w:color="000000"/>
            </w:tcBorders>
            <w:shd w:fill="CCEEFF" w:val="clear"/>
            <w:tcMar>
              <w:bottom w:w="28" w:type="dxa"/>
            </w:tcMar>
            <w:vAlign w:val="center"/>
          </w:tcPr>
          <w:p>
            <w:pPr>
              <w:pStyle w:val="TableContents"/>
              <w:bidi w:val="0"/>
              <w:spacing w:before="0" w:after="283"/>
              <w:jc w:val="left"/>
              <w:rPr>
                <w:sz w:val="16"/>
              </w:rPr>
            </w:pPr>
            <w:r>
              <w:rPr>
                <w:sz w:val="16"/>
              </w:rPr>
              <w:t>$</w:t>
            </w:r>
          </w:p>
        </w:tc>
        <w:tc>
          <w:tcPr>
            <w:tcW w:w="736" w:type="dxa"/>
            <w:tcBorders>
              <w:bottom w:val="double" w:sz="6" w:space="0" w:color="000000"/>
            </w:tcBorders>
            <w:shd w:fill="CCEEFF" w:val="clear"/>
            <w:tcMar>
              <w:bottom w:w="28" w:type="dxa"/>
            </w:tcMar>
            <w:vAlign w:val="center"/>
          </w:tcPr>
          <w:p>
            <w:pPr>
              <w:pStyle w:val="TableContents"/>
              <w:bidi w:val="0"/>
              <w:spacing w:before="0" w:after="283"/>
              <w:jc w:val="right"/>
              <w:rPr>
                <w:sz w:val="16"/>
              </w:rPr>
            </w:pPr>
            <w:r>
              <w:rPr>
                <w:sz w:val="16"/>
              </w:rPr>
              <w:t>(94,280</w:t>
            </w:r>
          </w:p>
        </w:tc>
        <w:tc>
          <w:tcPr>
            <w:tcW w:w="80"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156" w:type="dxa"/>
            <w:tcBorders>
              <w:bottom w:val="double" w:sz="6" w:space="0" w:color="000000"/>
            </w:tcBorders>
            <w:shd w:fill="CCEEFF" w:val="clear"/>
            <w:tcMar>
              <w:bottom w:w="28" w:type="dxa"/>
            </w:tcMar>
            <w:vAlign w:val="center"/>
          </w:tcPr>
          <w:p>
            <w:pPr>
              <w:pStyle w:val="TableContents"/>
              <w:bidi w:val="0"/>
              <w:spacing w:before="0" w:after="283"/>
              <w:jc w:val="left"/>
              <w:rPr>
                <w:sz w:val="16"/>
              </w:rPr>
            </w:pPr>
            <w:r>
              <w:rPr>
                <w:sz w:val="16"/>
              </w:rPr>
              <w:t>$</w:t>
            </w:r>
          </w:p>
        </w:tc>
        <w:tc>
          <w:tcPr>
            <w:tcW w:w="866" w:type="dxa"/>
            <w:tcBorders>
              <w:bottom w:val="double" w:sz="6" w:space="0" w:color="000000"/>
            </w:tcBorders>
            <w:shd w:fill="CCEEFF" w:val="clear"/>
            <w:tcMar>
              <w:bottom w:w="28" w:type="dxa"/>
            </w:tcMar>
            <w:vAlign w:val="center"/>
          </w:tcPr>
          <w:p>
            <w:pPr>
              <w:pStyle w:val="TableContents"/>
              <w:bidi w:val="0"/>
              <w:spacing w:before="0" w:after="283"/>
              <w:jc w:val="right"/>
              <w:rPr>
                <w:sz w:val="16"/>
              </w:rPr>
            </w:pPr>
            <w:r>
              <w:rPr>
                <w:sz w:val="16"/>
              </w:rPr>
              <w:t>31,273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bottom w:val="double" w:sz="6" w:space="0" w:color="000000"/>
            </w:tcBorders>
            <w:shd w:fill="CCEEFF" w:val="clear"/>
            <w:tcMar>
              <w:bottom w:w="28" w:type="dxa"/>
            </w:tcMar>
            <w:vAlign w:val="center"/>
          </w:tcPr>
          <w:p>
            <w:pPr>
              <w:pStyle w:val="TableContents"/>
              <w:bidi w:val="0"/>
              <w:spacing w:before="0" w:after="283"/>
              <w:jc w:val="left"/>
              <w:rPr>
                <w:sz w:val="16"/>
              </w:rPr>
            </w:pPr>
            <w:r>
              <w:rPr>
                <w:sz w:val="16"/>
              </w:rPr>
              <w:t>$</w:t>
            </w:r>
          </w:p>
        </w:tc>
        <w:tc>
          <w:tcPr>
            <w:tcW w:w="899" w:type="dxa"/>
            <w:tcBorders>
              <w:bottom w:val="double" w:sz="6" w:space="0" w:color="000000"/>
            </w:tcBorders>
            <w:shd w:fill="CCEEFF" w:val="clear"/>
            <w:tcMar>
              <w:bottom w:w="28" w:type="dxa"/>
            </w:tcMar>
            <w:vAlign w:val="center"/>
          </w:tcPr>
          <w:p>
            <w:pPr>
              <w:pStyle w:val="TableContents"/>
              <w:bidi w:val="0"/>
              <w:spacing w:before="0" w:after="283"/>
              <w:jc w:val="right"/>
              <w:rPr>
                <w:sz w:val="16"/>
              </w:rPr>
            </w:pPr>
            <w:r>
              <w:rPr>
                <w:sz w:val="16"/>
              </w:rPr>
              <w:t>16,836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9"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double" w:sz="6" w:space="0" w:color="000000"/>
            </w:tcBorders>
            <w:shd w:fill="CCEEFF" w:val="clear"/>
            <w:tcMar>
              <w:bottom w:w="28" w:type="dxa"/>
            </w:tcMar>
            <w:vAlign w:val="center"/>
          </w:tcPr>
          <w:p>
            <w:pPr>
              <w:pStyle w:val="TableContents"/>
              <w:bidi w:val="0"/>
              <w:spacing w:before="0" w:after="283"/>
              <w:jc w:val="left"/>
              <w:rPr>
                <w:sz w:val="16"/>
              </w:rPr>
            </w:pPr>
            <w:r>
              <w:rPr>
                <w:sz w:val="16"/>
              </w:rPr>
              <w:t>$</w:t>
            </w:r>
          </w:p>
        </w:tc>
        <w:tc>
          <w:tcPr>
            <w:tcW w:w="880" w:type="dxa"/>
            <w:tcBorders>
              <w:bottom w:val="double" w:sz="6" w:space="0" w:color="000000"/>
            </w:tcBorders>
            <w:shd w:fill="CCEEFF" w:val="clear"/>
            <w:tcMar>
              <w:bottom w:w="28" w:type="dxa"/>
            </w:tcMar>
            <w:vAlign w:val="center"/>
          </w:tcPr>
          <w:p>
            <w:pPr>
              <w:pStyle w:val="TableContents"/>
              <w:bidi w:val="0"/>
              <w:spacing w:before="0" w:after="283"/>
              <w:jc w:val="right"/>
              <w:rPr>
                <w:sz w:val="16"/>
              </w:rPr>
            </w:pPr>
            <w:r>
              <w:rPr>
                <w:sz w:val="16"/>
              </w:rPr>
              <w:t>(108,506</w:t>
            </w:r>
          </w:p>
        </w:tc>
        <w:tc>
          <w:tcPr>
            <w:tcW w:w="80"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619"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sz w:val="16"/>
              </w:rPr>
            </w:pPr>
            <w:r>
              <w:rPr>
                <w:sz w:val="16"/>
              </w:rPr>
              <w:t>$</w:t>
            </w:r>
          </w:p>
        </w:tc>
        <w:tc>
          <w:tcPr>
            <w:tcW w:w="762" w:type="dxa"/>
            <w:tcBorders>
              <w:bottom w:val="double" w:sz="6" w:space="0" w:color="000000"/>
            </w:tcBorders>
            <w:shd w:fill="CCEEFF" w:val="clear"/>
            <w:tcMar>
              <w:bottom w:w="28" w:type="dxa"/>
            </w:tcMar>
            <w:vAlign w:val="center"/>
          </w:tcPr>
          <w:p>
            <w:pPr>
              <w:pStyle w:val="TableContents"/>
              <w:bidi w:val="0"/>
              <w:spacing w:before="0" w:after="283"/>
              <w:jc w:val="right"/>
              <w:rPr>
                <w:sz w:val="16"/>
              </w:rPr>
            </w:pPr>
            <w:r>
              <w:rPr>
                <w:sz w:val="16"/>
              </w:rPr>
              <w:t>(154,677</w:t>
            </w:r>
          </w:p>
        </w:tc>
        <w:tc>
          <w:tcPr>
            <w:tcW w:w="101" w:type="dxa"/>
            <w:tcBorders/>
            <w:shd w:fill="CCEEFF" w:val="clear"/>
            <w:vAlign w:val="center"/>
          </w:tcPr>
          <w:p>
            <w:pPr>
              <w:pStyle w:val="TableContents"/>
              <w:bidi w:val="0"/>
              <w:spacing w:before="0" w:after="283"/>
              <w:jc w:val="left"/>
              <w:rPr>
                <w:sz w:val="16"/>
              </w:rPr>
            </w:pPr>
            <w:r>
              <w:rPr>
                <w:sz w:val="16"/>
              </w:rPr>
              <w:t>)</w:t>
            </w:r>
          </w:p>
        </w:tc>
      </w:tr>
      <w:tr>
        <w:trPr/>
        <w:tc>
          <w:tcPr>
            <w:tcW w:w="3267" w:type="dxa"/>
            <w:tcBorders/>
            <w:shd w:fill="FFFFFF" w:val="clear"/>
            <w:vAlign w:val="center"/>
          </w:tcPr>
          <w:p>
            <w:pPr>
              <w:pStyle w:val="TableContents"/>
              <w:bidi w:val="0"/>
              <w:spacing w:before="0" w:after="283"/>
              <w:jc w:val="left"/>
              <w:rPr>
                <w:sz w:val="16"/>
              </w:rPr>
            </w:pPr>
            <w:r>
              <w:rPr>
                <w:sz w:val="16"/>
              </w:rPr>
              <w:t>Weighted-average common shares outstanding</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89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9"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88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9"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62" w:type="dxa"/>
            <w:tcBorders/>
            <w:shd w:fill="FFFFFF" w:val="clear"/>
            <w:vAlign w:val="center"/>
          </w:tcPr>
          <w:p>
            <w:pPr>
              <w:pStyle w:val="TableContents"/>
              <w:bidi w:val="0"/>
              <w:spacing w:before="0" w:after="283"/>
              <w:jc w:val="center"/>
              <w:rPr>
                <w:sz w:val="16"/>
              </w:rPr>
            </w:pPr>
            <w:r>
              <w:rPr>
                <w:sz w:val="16"/>
              </w:rPr>
              <w:t>(Note 7)</w:t>
            </w:r>
          </w:p>
        </w:tc>
        <w:tc>
          <w:tcPr>
            <w:tcW w:w="101" w:type="dxa"/>
            <w:tcBorders/>
            <w:shd w:fill="FFFFFF" w:val="clear"/>
            <w:vAlign w:val="center"/>
          </w:tcPr>
          <w:p>
            <w:pPr>
              <w:pStyle w:val="TableContents"/>
              <w:bidi w:val="0"/>
              <w:spacing w:before="0" w:after="283"/>
              <w:jc w:val="left"/>
              <w:rPr/>
            </w:pPr>
            <w:r>
              <w:rPr/>
              <w:t> </w:t>
            </w:r>
          </w:p>
        </w:tc>
      </w:tr>
      <w:tr>
        <w:trPr/>
        <w:tc>
          <w:tcPr>
            <w:tcW w:w="3267" w:type="dxa"/>
            <w:tcBorders/>
            <w:shd w:fill="CCEEFF" w:val="clear"/>
            <w:vAlign w:val="center"/>
          </w:tcPr>
          <w:p>
            <w:pPr>
              <w:pStyle w:val="TableContents"/>
              <w:bidi w:val="0"/>
              <w:spacing w:before="0" w:after="283"/>
              <w:jc w:val="left"/>
              <w:rPr>
                <w:sz w:val="16"/>
              </w:rPr>
            </w:pPr>
            <w:r>
              <w:rPr>
                <w:sz w:val="16"/>
              </w:rPr>
              <w:t>Basic and diluted</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736" w:type="dxa"/>
            <w:tcBorders/>
            <w:shd w:fill="CCEEFF" w:val="clear"/>
            <w:vAlign w:val="center"/>
          </w:tcPr>
          <w:p>
            <w:pPr>
              <w:pStyle w:val="TableContents"/>
              <w:bidi w:val="0"/>
              <w:spacing w:before="0" w:after="283"/>
              <w:jc w:val="right"/>
              <w:rPr>
                <w:sz w:val="16"/>
              </w:rPr>
            </w:pPr>
            <w:r>
              <w:rPr>
                <w:sz w:val="16"/>
              </w:rPr>
              <w:t>617,625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866" w:type="dxa"/>
            <w:tcBorders/>
            <w:shd w:fill="CCEEFF" w:val="clear"/>
            <w:vAlign w:val="center"/>
          </w:tcPr>
          <w:p>
            <w:pPr>
              <w:pStyle w:val="TableContents"/>
              <w:bidi w:val="0"/>
              <w:spacing w:before="0" w:after="283"/>
              <w:jc w:val="right"/>
              <w:rPr>
                <w:sz w:val="16"/>
              </w:rPr>
            </w:pPr>
            <w:r>
              <w:rPr>
                <w:sz w:val="16"/>
              </w:rPr>
              <w:t>106,648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89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9"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88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9"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62" w:type="dxa"/>
            <w:tcBorders/>
            <w:shd w:fill="CCEEFF" w:val="clear"/>
            <w:vAlign w:val="center"/>
          </w:tcPr>
          <w:p>
            <w:pPr>
              <w:pStyle w:val="TableContents"/>
              <w:bidi w:val="0"/>
              <w:spacing w:before="0" w:after="283"/>
              <w:jc w:val="right"/>
              <w:rPr>
                <w:sz w:val="16"/>
              </w:rPr>
            </w:pPr>
            <w:r>
              <w:rPr>
                <w:sz w:val="16"/>
              </w:rPr>
              <w:t>658,944</w:t>
            </w:r>
          </w:p>
        </w:tc>
        <w:tc>
          <w:tcPr>
            <w:tcW w:w="101" w:type="dxa"/>
            <w:tcBorders/>
            <w:shd w:fill="CCEEFF" w:val="clear"/>
            <w:vAlign w:val="center"/>
          </w:tcPr>
          <w:p>
            <w:pPr>
              <w:pStyle w:val="TableContents"/>
              <w:bidi w:val="0"/>
              <w:spacing w:before="0" w:after="283"/>
              <w:jc w:val="left"/>
              <w:rPr/>
            </w:pPr>
            <w:r>
              <w:rPr/>
              <w:t> </w:t>
            </w:r>
          </w:p>
        </w:tc>
      </w:tr>
      <w:tr>
        <w:trPr/>
        <w:tc>
          <w:tcPr>
            <w:tcW w:w="3267" w:type="dxa"/>
            <w:tcBorders/>
            <w:shd w:fill="FFFFFF" w:val="clear"/>
            <w:vAlign w:val="center"/>
          </w:tcPr>
          <w:p>
            <w:pPr>
              <w:pStyle w:val="TableContents"/>
              <w:bidi w:val="0"/>
              <w:spacing w:before="0" w:after="283"/>
              <w:jc w:val="left"/>
              <w:rPr>
                <w:sz w:val="16"/>
              </w:rPr>
            </w:pPr>
            <w:r>
              <w:rPr>
                <w:sz w:val="16"/>
              </w:rPr>
              <w:t>Net income (loss) per share</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89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9"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88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9"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62" w:type="dxa"/>
            <w:tcBorders/>
            <w:shd w:fill="FFFFFF" w:val="clear"/>
            <w:vAlign w:val="center"/>
          </w:tcPr>
          <w:p>
            <w:pPr>
              <w:pStyle w:val="TableContents"/>
              <w:bidi w:val="0"/>
              <w:spacing w:before="0" w:after="283"/>
              <w:jc w:val="right"/>
              <w:rPr/>
            </w:pPr>
            <w:r>
              <w:rPr/>
              <w:t> </w:t>
            </w:r>
          </w:p>
        </w:tc>
        <w:tc>
          <w:tcPr>
            <w:tcW w:w="101" w:type="dxa"/>
            <w:tcBorders/>
            <w:shd w:fill="FFFFFF" w:val="clear"/>
            <w:vAlign w:val="center"/>
          </w:tcPr>
          <w:p>
            <w:pPr>
              <w:pStyle w:val="TableContents"/>
              <w:bidi w:val="0"/>
              <w:spacing w:before="0" w:after="283"/>
              <w:jc w:val="left"/>
              <w:rPr/>
            </w:pPr>
            <w:r>
              <w:rPr/>
              <w:t> </w:t>
            </w:r>
          </w:p>
        </w:tc>
      </w:tr>
      <w:tr>
        <w:trPr/>
        <w:tc>
          <w:tcPr>
            <w:tcW w:w="3267" w:type="dxa"/>
            <w:tcBorders/>
            <w:shd w:fill="CCEEFF" w:val="clear"/>
            <w:vAlign w:val="center"/>
          </w:tcPr>
          <w:p>
            <w:pPr>
              <w:pStyle w:val="TableContents"/>
              <w:bidi w:val="0"/>
              <w:spacing w:before="0" w:after="283"/>
              <w:jc w:val="left"/>
              <w:rPr>
                <w:sz w:val="16"/>
              </w:rPr>
            </w:pPr>
            <w:r>
              <w:rPr>
                <w:sz w:val="16"/>
              </w:rPr>
              <w:t>Basic and diluted net income (loss) per share</w:t>
            </w:r>
          </w:p>
        </w:tc>
        <w:tc>
          <w:tcPr>
            <w:tcW w:w="60" w:type="dxa"/>
            <w:tcBorders/>
            <w:shd w:fill="CCEEFF" w:val="clear"/>
            <w:vAlign w:val="center"/>
          </w:tcPr>
          <w:p>
            <w:pPr>
              <w:pStyle w:val="TableContents"/>
              <w:bidi w:val="0"/>
              <w:spacing w:before="0" w:after="283"/>
              <w:jc w:val="left"/>
              <w:rPr/>
            </w:pPr>
            <w:r>
              <w:rPr/>
              <w:t> </w:t>
            </w:r>
          </w:p>
        </w:tc>
        <w:tc>
          <w:tcPr>
            <w:tcW w:w="122" w:type="dxa"/>
            <w:tcBorders>
              <w:bottom w:val="double" w:sz="6" w:space="0" w:color="000000"/>
            </w:tcBorders>
            <w:shd w:fill="CCEEFF" w:val="clear"/>
            <w:tcMar>
              <w:bottom w:w="28" w:type="dxa"/>
            </w:tcMar>
            <w:vAlign w:val="center"/>
          </w:tcPr>
          <w:p>
            <w:pPr>
              <w:pStyle w:val="TableContents"/>
              <w:bidi w:val="0"/>
              <w:spacing w:before="0" w:after="283"/>
              <w:jc w:val="left"/>
              <w:rPr>
                <w:sz w:val="16"/>
              </w:rPr>
            </w:pPr>
            <w:r>
              <w:rPr>
                <w:sz w:val="16"/>
              </w:rPr>
              <w:t>$</w:t>
            </w:r>
          </w:p>
        </w:tc>
        <w:tc>
          <w:tcPr>
            <w:tcW w:w="736" w:type="dxa"/>
            <w:tcBorders>
              <w:bottom w:val="double" w:sz="6" w:space="0" w:color="000000"/>
            </w:tcBorders>
            <w:shd w:fill="CCEEFF" w:val="clear"/>
            <w:tcMar>
              <w:bottom w:w="28" w:type="dxa"/>
            </w:tcMar>
            <w:vAlign w:val="center"/>
          </w:tcPr>
          <w:p>
            <w:pPr>
              <w:pStyle w:val="TableContents"/>
              <w:bidi w:val="0"/>
              <w:spacing w:before="0" w:after="283"/>
              <w:jc w:val="right"/>
              <w:rPr>
                <w:sz w:val="16"/>
              </w:rPr>
            </w:pPr>
            <w:r>
              <w:rPr>
                <w:sz w:val="16"/>
              </w:rPr>
              <w:t>(0.15</w:t>
            </w:r>
          </w:p>
        </w:tc>
        <w:tc>
          <w:tcPr>
            <w:tcW w:w="80"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156" w:type="dxa"/>
            <w:tcBorders>
              <w:bottom w:val="double" w:sz="6" w:space="0" w:color="000000"/>
            </w:tcBorders>
            <w:shd w:fill="CCEEFF" w:val="clear"/>
            <w:tcMar>
              <w:bottom w:w="28" w:type="dxa"/>
            </w:tcMar>
            <w:vAlign w:val="center"/>
          </w:tcPr>
          <w:p>
            <w:pPr>
              <w:pStyle w:val="TableContents"/>
              <w:bidi w:val="0"/>
              <w:spacing w:before="0" w:after="283"/>
              <w:jc w:val="left"/>
              <w:rPr>
                <w:sz w:val="16"/>
              </w:rPr>
            </w:pPr>
            <w:r>
              <w:rPr>
                <w:sz w:val="16"/>
              </w:rPr>
              <w:t>$</w:t>
            </w:r>
          </w:p>
        </w:tc>
        <w:tc>
          <w:tcPr>
            <w:tcW w:w="866" w:type="dxa"/>
            <w:tcBorders>
              <w:bottom w:val="double" w:sz="6" w:space="0" w:color="000000"/>
            </w:tcBorders>
            <w:shd w:fill="CCEEFF" w:val="clear"/>
            <w:tcMar>
              <w:bottom w:w="28" w:type="dxa"/>
            </w:tcMar>
            <w:vAlign w:val="center"/>
          </w:tcPr>
          <w:p>
            <w:pPr>
              <w:pStyle w:val="TableContents"/>
              <w:bidi w:val="0"/>
              <w:spacing w:before="0" w:after="283"/>
              <w:jc w:val="right"/>
              <w:rPr>
                <w:sz w:val="16"/>
              </w:rPr>
            </w:pPr>
            <w:r>
              <w:rPr>
                <w:sz w:val="16"/>
              </w:rPr>
              <w:t>0.29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89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9"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88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9"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sz w:val="16"/>
              </w:rPr>
            </w:pPr>
            <w:r>
              <w:rPr>
                <w:sz w:val="16"/>
              </w:rPr>
              <w:t>$</w:t>
            </w:r>
          </w:p>
        </w:tc>
        <w:tc>
          <w:tcPr>
            <w:tcW w:w="762" w:type="dxa"/>
            <w:tcBorders>
              <w:bottom w:val="double" w:sz="6" w:space="0" w:color="000000"/>
            </w:tcBorders>
            <w:shd w:fill="CCEEFF" w:val="clear"/>
            <w:tcMar>
              <w:bottom w:w="28" w:type="dxa"/>
            </w:tcMar>
            <w:vAlign w:val="center"/>
          </w:tcPr>
          <w:p>
            <w:pPr>
              <w:pStyle w:val="TableContents"/>
              <w:bidi w:val="0"/>
              <w:spacing w:before="0" w:after="283"/>
              <w:jc w:val="right"/>
              <w:rPr>
                <w:sz w:val="16"/>
              </w:rPr>
            </w:pPr>
            <w:r>
              <w:rPr>
                <w:sz w:val="16"/>
              </w:rPr>
              <w:t>(0.23</w:t>
            </w:r>
          </w:p>
        </w:tc>
        <w:tc>
          <w:tcPr>
            <w:tcW w:w="101" w:type="dxa"/>
            <w:tcBorders/>
            <w:shd w:fill="CCEEFF" w:val="clear"/>
            <w:vAlign w:val="center"/>
          </w:tcPr>
          <w:p>
            <w:pPr>
              <w:pStyle w:val="TableContents"/>
              <w:bidi w:val="0"/>
              <w:spacing w:before="0" w:after="283"/>
              <w:jc w:val="left"/>
              <w:rPr>
                <w:sz w:val="16"/>
              </w:rPr>
            </w:pPr>
            <w:r>
              <w:rPr>
                <w:sz w:val="16"/>
              </w:rPr>
              <w:t>)</w:t>
            </w:r>
          </w:p>
        </w:tc>
      </w:tr>
    </w:tbl>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pro forma condensed consolidated financial statements.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PRO FORMA CONDENSED COMBINED STATEMENT OF OPERATIONS</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 ENDED DECEMBER 31, 2025</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per share data)</w:t>
      </w:r>
    </w:p>
    <w:p>
      <w:pPr>
        <w:pStyle w:val="TextBody"/>
        <w:bidi w:val="0"/>
        <w:jc w:val="center"/>
        <w:rPr>
          <w:caps w:val="false"/>
          <w:smallCaps w:val="false"/>
        </w:rPr>
      </w:pPr>
      <w:r>
        <w:rPr>
          <w:caps w:val="false"/>
          <w:smallCaps w:val="false"/>
        </w:rPr>
        <w:t> </w:t>
      </w:r>
    </w:p>
    <w:tbl>
      <w:tblPr>
        <w:tblW w:w="10041" w:type="dxa"/>
        <w:jc w:val="left"/>
        <w:tblInd w:w="0" w:type="dxa"/>
        <w:tblLayout w:type="fixed"/>
        <w:tblCellMar>
          <w:top w:w="0" w:type="dxa"/>
          <w:left w:w="0" w:type="dxa"/>
          <w:bottom w:w="0" w:type="dxa"/>
          <w:right w:w="0" w:type="dxa"/>
        </w:tblCellMar>
      </w:tblPr>
      <w:tblGrid>
        <w:gridCol w:w="3275"/>
        <w:gridCol w:w="60"/>
        <w:gridCol w:w="122"/>
        <w:gridCol w:w="737"/>
        <w:gridCol w:w="80"/>
        <w:gridCol w:w="60"/>
        <w:gridCol w:w="150"/>
        <w:gridCol w:w="829"/>
        <w:gridCol w:w="80"/>
        <w:gridCol w:w="60"/>
        <w:gridCol w:w="138"/>
        <w:gridCol w:w="841"/>
        <w:gridCol w:w="80"/>
        <w:gridCol w:w="60"/>
        <w:gridCol w:w="620"/>
        <w:gridCol w:w="60"/>
        <w:gridCol w:w="144"/>
        <w:gridCol w:w="880"/>
        <w:gridCol w:w="80"/>
        <w:gridCol w:w="60"/>
        <w:gridCol w:w="620"/>
        <w:gridCol w:w="60"/>
        <w:gridCol w:w="110"/>
        <w:gridCol w:w="740"/>
        <w:gridCol w:w="95"/>
      </w:tblGrid>
      <w:tr>
        <w:trPr/>
        <w:tc>
          <w:tcPr>
            <w:tcW w:w="32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59" w:type="dxa"/>
            <w:gridSpan w:val="2"/>
            <w:tcBorders/>
            <w:vAlign w:val="center"/>
          </w:tcPr>
          <w:p>
            <w:pPr>
              <w:pStyle w:val="TableContents"/>
              <w:bidi w:val="0"/>
              <w:spacing w:before="0" w:after="283"/>
              <w:jc w:val="center"/>
              <w:rPr>
                <w:rFonts w:ascii="Times New Roman;serif" w:hAnsi="Times New Roman;serif"/>
                <w:b/>
                <w:sz w:val="16"/>
              </w:rPr>
            </w:pPr>
            <w:r>
              <w:rPr>
                <w:rFonts w:ascii="Times New Roman;serif" w:hAnsi="Times New Roman;serif"/>
                <w:b/>
                <w:sz w:val="16"/>
              </w:rPr>
              <w:t>Rocket Lab</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79" w:type="dxa"/>
            <w:gridSpan w:val="2"/>
            <w:tcBorders/>
            <w:vAlign w:val="center"/>
          </w:tcPr>
          <w:p>
            <w:pPr>
              <w:pStyle w:val="TableContents"/>
              <w:bidi w:val="0"/>
              <w:spacing w:before="0" w:after="0"/>
              <w:ind w:left="0" w:right="0" w:hanging="0"/>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Iridium</w:t>
            </w:r>
          </w:p>
          <w:p>
            <w:pPr>
              <w:pStyle w:val="TableContents"/>
              <w:bidi w:val="0"/>
              <w:spacing w:before="0" w:after="0"/>
              <w:ind w:left="0" w:right="0" w:hanging="0"/>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Historical, as</w:t>
            </w:r>
          </w:p>
          <w:p>
            <w:pPr>
              <w:pStyle w:val="TableContents"/>
              <w:bidi w:val="0"/>
              <w:spacing w:before="0" w:after="0"/>
              <w:ind w:left="0" w:right="0" w:hanging="0"/>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Reclassified</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79" w:type="dxa"/>
            <w:gridSpan w:val="2"/>
            <w:tcBorders/>
            <w:vAlign w:val="center"/>
          </w:tcPr>
          <w:p>
            <w:pPr>
              <w:pStyle w:val="TableContents"/>
              <w:bidi w:val="0"/>
              <w:spacing w:before="0" w:after="0"/>
              <w:ind w:left="0" w:right="0" w:hanging="0"/>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Transaction</w:t>
            </w:r>
          </w:p>
          <w:p>
            <w:pPr>
              <w:pStyle w:val="TableContents"/>
              <w:bidi w:val="0"/>
              <w:spacing w:before="0" w:after="0"/>
              <w:ind w:left="0" w:right="0" w:hanging="0"/>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Accounting</w:t>
            </w:r>
          </w:p>
          <w:p>
            <w:pPr>
              <w:pStyle w:val="TableContents"/>
              <w:bidi w:val="0"/>
              <w:spacing w:before="0" w:after="0"/>
              <w:ind w:left="0" w:right="0" w:hanging="0"/>
              <w:jc w:val="center"/>
              <w:rPr>
                <w:rFonts w:ascii="Times New Roman;serif" w:hAnsi="Times New Roman;serif"/>
                <w:b w:val="false"/>
                <w:i w:val="false"/>
                <w:caps w:val="false"/>
                <w:smallCaps w:val="false"/>
                <w:sz w:val="16"/>
              </w:rPr>
            </w:pPr>
            <w:r>
              <w:rPr>
                <w:rFonts w:ascii="Times New Roman;serif" w:hAnsi="Times New Roman;serif"/>
                <w:b/>
                <w:i w:val="false"/>
                <w:caps w:val="false"/>
                <w:smallCaps w:val="false"/>
                <w:sz w:val="16"/>
              </w:rPr>
              <w:t>Adjustments</w:t>
            </w:r>
            <w:r>
              <w:rPr>
                <w:rFonts w:ascii="Times New Roman;serif" w:hAnsi="Times New Roman;serif"/>
                <w:b w:val="false"/>
                <w:i w:val="false"/>
                <w:caps w:val="false"/>
                <w:smallCaps w:val="false"/>
                <w:sz w:val="16"/>
              </w:rPr>
              <w:t>-</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24" w:type="dxa"/>
            <w:gridSpan w:val="2"/>
            <w:tcBorders/>
            <w:vAlign w:val="center"/>
          </w:tcPr>
          <w:p>
            <w:pPr>
              <w:pStyle w:val="TableContents"/>
              <w:bidi w:val="0"/>
              <w:spacing w:before="0" w:after="0"/>
              <w:ind w:left="0" w:right="0" w:hanging="0"/>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Transaction</w:t>
            </w:r>
          </w:p>
          <w:p>
            <w:pPr>
              <w:pStyle w:val="TableContents"/>
              <w:bidi w:val="0"/>
              <w:spacing w:before="0" w:after="0"/>
              <w:ind w:left="0" w:right="0" w:hanging="0"/>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Accounting</w:t>
            </w:r>
          </w:p>
          <w:p>
            <w:pPr>
              <w:pStyle w:val="TableContents"/>
              <w:bidi w:val="0"/>
              <w:spacing w:before="0" w:after="0"/>
              <w:ind w:left="0" w:right="0" w:hanging="0"/>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Adjustments -</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50" w:type="dxa"/>
            <w:gridSpan w:val="2"/>
            <w:tcBorders/>
            <w:vAlign w:val="center"/>
          </w:tcPr>
          <w:p>
            <w:pPr>
              <w:pStyle w:val="TableContents"/>
              <w:bidi w:val="0"/>
              <w:spacing w:before="0" w:after="283"/>
              <w:jc w:val="center"/>
              <w:rPr>
                <w:rFonts w:ascii="Times New Roman;serif" w:hAnsi="Times New Roman;serif"/>
                <w:b/>
                <w:sz w:val="16"/>
              </w:rPr>
            </w:pPr>
            <w:r>
              <w:rPr>
                <w:rFonts w:ascii="Times New Roman;serif" w:hAnsi="Times New Roman;serif"/>
                <w:b/>
                <w:sz w:val="16"/>
              </w:rPr>
              <w:t>Pro Forma</w:t>
            </w:r>
          </w:p>
        </w:tc>
        <w:tc>
          <w:tcPr>
            <w:tcW w:w="95" w:type="dxa"/>
            <w:tcBorders/>
            <w:vAlign w:val="center"/>
          </w:tcPr>
          <w:p>
            <w:pPr>
              <w:pStyle w:val="TableContents"/>
              <w:bidi w:val="0"/>
              <w:spacing w:before="0" w:after="283"/>
              <w:jc w:val="center"/>
              <w:rPr/>
            </w:pPr>
            <w:r>
              <w:rPr/>
              <w:t> </w:t>
            </w:r>
          </w:p>
        </w:tc>
      </w:tr>
      <w:tr>
        <w:trPr/>
        <w:tc>
          <w:tcPr>
            <w:tcW w:w="32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59" w:type="dxa"/>
            <w:gridSpan w:val="2"/>
            <w:tcBorders>
              <w:bottom w:val="single" w:sz="8" w:space="0" w:color="000000"/>
            </w:tcBorders>
            <w:tcMar>
              <w:bottom w:w="28" w:type="dxa"/>
            </w:tcMar>
            <w:vAlign w:val="center"/>
          </w:tcPr>
          <w:p>
            <w:pPr>
              <w:pStyle w:val="TableContents"/>
              <w:bidi w:val="0"/>
              <w:spacing w:before="0" w:after="283"/>
              <w:jc w:val="center"/>
              <w:rPr>
                <w:rFonts w:ascii="Times New Roman;serif" w:hAnsi="Times New Roman;serif"/>
                <w:b/>
                <w:sz w:val="16"/>
              </w:rPr>
            </w:pPr>
            <w:r>
              <w:rPr>
                <w:rFonts w:ascii="Times New Roman;serif" w:hAnsi="Times New Roman;serif"/>
                <w:b/>
                <w:sz w:val="16"/>
              </w:rPr>
              <w:t>(Historical)</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79" w:type="dxa"/>
            <w:gridSpan w:val="2"/>
            <w:tcBorders>
              <w:bottom w:val="single" w:sz="8" w:space="0" w:color="000000"/>
            </w:tcBorders>
            <w:tcMar>
              <w:bottom w:w="28" w:type="dxa"/>
            </w:tcMar>
            <w:vAlign w:val="center"/>
          </w:tcPr>
          <w:p>
            <w:pPr>
              <w:pStyle w:val="TableContents"/>
              <w:bidi w:val="0"/>
              <w:spacing w:before="0" w:after="283"/>
              <w:jc w:val="center"/>
              <w:rPr>
                <w:rFonts w:ascii="Times New Roman;serif" w:hAnsi="Times New Roman;serif"/>
                <w:b/>
                <w:sz w:val="16"/>
              </w:rPr>
            </w:pPr>
            <w:r>
              <w:rPr>
                <w:rFonts w:ascii="Times New Roman;serif" w:hAnsi="Times New Roman;serif"/>
                <w:b/>
                <w:sz w:val="16"/>
              </w:rPr>
              <w:t>(Note 3)</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79" w:type="dxa"/>
            <w:gridSpan w:val="2"/>
            <w:tcBorders>
              <w:bottom w:val="single" w:sz="8" w:space="0" w:color="000000"/>
            </w:tcBorders>
            <w:tcMar>
              <w:bottom w:w="28" w:type="dxa"/>
            </w:tcMar>
            <w:vAlign w:val="center"/>
          </w:tcPr>
          <w:p>
            <w:pPr>
              <w:pStyle w:val="TableContents"/>
              <w:bidi w:val="0"/>
              <w:spacing w:before="0" w:after="283"/>
              <w:jc w:val="center"/>
              <w:rPr>
                <w:rFonts w:ascii="Times New Roman;serif" w:hAnsi="Times New Roman;serif"/>
                <w:b/>
                <w:sz w:val="16"/>
              </w:rPr>
            </w:pPr>
            <w:r>
              <w:rPr>
                <w:rFonts w:ascii="Times New Roman;serif" w:hAnsi="Times New Roman;serif"/>
                <w:b/>
                <w:sz w:val="16"/>
              </w:rPr>
              <w:t>Purchase</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20" w:type="dxa"/>
            <w:tcBorders>
              <w:bottom w:val="single" w:sz="8" w:space="0" w:color="000000"/>
            </w:tcBorders>
            <w:tcMar>
              <w:bottom w:w="28" w:type="dxa"/>
            </w:tcMar>
            <w:vAlign w:val="center"/>
          </w:tcPr>
          <w:p>
            <w:pPr>
              <w:pStyle w:val="TableContents"/>
              <w:bidi w:val="0"/>
              <w:spacing w:before="0" w:after="283"/>
              <w:jc w:val="center"/>
              <w:rPr>
                <w:rFonts w:ascii="Times New Roman;serif" w:hAnsi="Times New Roman;serif"/>
                <w:b/>
                <w:sz w:val="16"/>
              </w:rPr>
            </w:pPr>
            <w:r>
              <w:rPr>
                <w:rFonts w:ascii="Times New Roman;serif" w:hAnsi="Times New Roman;serif"/>
                <w:b/>
                <w:sz w:val="16"/>
              </w:rPr>
              <w:t>(Note 5)</w:t>
            </w:r>
          </w:p>
        </w:tc>
        <w:tc>
          <w:tcPr>
            <w:tcW w:w="60" w:type="dxa"/>
            <w:tcBorders/>
            <w:vAlign w:val="center"/>
          </w:tcPr>
          <w:p>
            <w:pPr>
              <w:pStyle w:val="TableContents"/>
              <w:bidi w:val="0"/>
              <w:spacing w:before="0" w:after="283"/>
              <w:jc w:val="center"/>
              <w:rPr/>
            </w:pPr>
            <w:r>
              <w:rPr/>
              <w:t> </w:t>
            </w:r>
          </w:p>
        </w:tc>
        <w:tc>
          <w:tcPr>
            <w:tcW w:w="1024" w:type="dxa"/>
            <w:gridSpan w:val="2"/>
            <w:tcBorders>
              <w:bottom w:val="single" w:sz="8" w:space="0" w:color="000000"/>
            </w:tcBorders>
            <w:tcMar>
              <w:bottom w:w="28" w:type="dxa"/>
            </w:tcMar>
            <w:vAlign w:val="center"/>
          </w:tcPr>
          <w:p>
            <w:pPr>
              <w:pStyle w:val="TableContents"/>
              <w:bidi w:val="0"/>
              <w:spacing w:before="0" w:after="283"/>
              <w:jc w:val="center"/>
              <w:rPr>
                <w:rFonts w:ascii="Times New Roman;serif" w:hAnsi="Times New Roman;serif"/>
                <w:b/>
                <w:sz w:val="16"/>
              </w:rPr>
            </w:pPr>
            <w:r>
              <w:rPr>
                <w:rFonts w:ascii="Times New Roman;serif" w:hAnsi="Times New Roman;serif"/>
                <w:b/>
                <w:sz w:val="16"/>
              </w:rPr>
              <w:t>Financing</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20" w:type="dxa"/>
            <w:tcBorders>
              <w:bottom w:val="single" w:sz="8" w:space="0" w:color="000000"/>
            </w:tcBorders>
            <w:tcMar>
              <w:bottom w:w="28" w:type="dxa"/>
            </w:tcMar>
            <w:vAlign w:val="center"/>
          </w:tcPr>
          <w:p>
            <w:pPr>
              <w:pStyle w:val="TableContents"/>
              <w:bidi w:val="0"/>
              <w:spacing w:before="0" w:after="283"/>
              <w:jc w:val="center"/>
              <w:rPr>
                <w:rFonts w:ascii="Times New Roman;serif" w:hAnsi="Times New Roman;serif"/>
                <w:b/>
                <w:sz w:val="16"/>
              </w:rPr>
            </w:pPr>
            <w:r>
              <w:rPr>
                <w:rFonts w:ascii="Times New Roman;serif" w:hAnsi="Times New Roman;serif"/>
                <w:b/>
                <w:sz w:val="16"/>
              </w:rPr>
              <w:t>(Note 6)</w:t>
            </w:r>
          </w:p>
        </w:tc>
        <w:tc>
          <w:tcPr>
            <w:tcW w:w="60" w:type="dxa"/>
            <w:tcBorders/>
            <w:vAlign w:val="center"/>
          </w:tcPr>
          <w:p>
            <w:pPr>
              <w:pStyle w:val="TableContents"/>
              <w:bidi w:val="0"/>
              <w:spacing w:before="0" w:after="283"/>
              <w:jc w:val="center"/>
              <w:rPr/>
            </w:pPr>
            <w:r>
              <w:rPr/>
              <w:t> </w:t>
            </w:r>
          </w:p>
        </w:tc>
        <w:tc>
          <w:tcPr>
            <w:tcW w:w="850" w:type="dxa"/>
            <w:gridSpan w:val="2"/>
            <w:tcBorders>
              <w:bottom w:val="single" w:sz="8" w:space="0" w:color="000000"/>
            </w:tcBorders>
            <w:tcMar>
              <w:bottom w:w="28" w:type="dxa"/>
            </w:tcMar>
            <w:vAlign w:val="center"/>
          </w:tcPr>
          <w:p>
            <w:pPr>
              <w:pStyle w:val="TableContents"/>
              <w:bidi w:val="0"/>
              <w:spacing w:before="0" w:after="283"/>
              <w:jc w:val="center"/>
              <w:rPr>
                <w:rFonts w:ascii="Times New Roman;serif" w:hAnsi="Times New Roman;serif"/>
                <w:b/>
                <w:sz w:val="16"/>
              </w:rPr>
            </w:pPr>
            <w:r>
              <w:rPr>
                <w:rFonts w:ascii="Times New Roman;serif" w:hAnsi="Times New Roman;serif"/>
                <w:b/>
                <w:sz w:val="16"/>
              </w:rPr>
              <w:t>Combined</w:t>
            </w:r>
          </w:p>
        </w:tc>
        <w:tc>
          <w:tcPr>
            <w:tcW w:w="95" w:type="dxa"/>
            <w:tcBorders/>
            <w:vAlign w:val="center"/>
          </w:tcPr>
          <w:p>
            <w:pPr>
              <w:pStyle w:val="TableContents"/>
              <w:bidi w:val="0"/>
              <w:spacing w:before="0" w:after="283"/>
              <w:jc w:val="center"/>
              <w:rPr/>
            </w:pPr>
            <w:r>
              <w:rPr/>
              <w:t> </w:t>
            </w:r>
          </w:p>
        </w:tc>
      </w:tr>
      <w:tr>
        <w:trPr/>
        <w:tc>
          <w:tcPr>
            <w:tcW w:w="3275" w:type="dxa"/>
            <w:tcBorders/>
            <w:shd w:fill="CCEEFF" w:val="clear"/>
            <w:vAlign w:val="center"/>
          </w:tcPr>
          <w:p>
            <w:pPr>
              <w:pStyle w:val="TableContents"/>
              <w:bidi w:val="0"/>
              <w:spacing w:before="0" w:after="283"/>
              <w:jc w:val="left"/>
              <w:rPr>
                <w:rFonts w:ascii="Times New Roman;serif" w:hAnsi="Times New Roman;serif"/>
                <w:sz w:val="16"/>
              </w:rPr>
            </w:pPr>
            <w:r>
              <w:rPr>
                <w:rFonts w:ascii="Times New Roman;serif" w:hAnsi="Times New Roman;serif"/>
                <w:sz w:val="16"/>
              </w:rPr>
              <w:t>Revenues:</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73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82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84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88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3275" w:type="dxa"/>
            <w:tcBorders/>
            <w:shd w:fill="FFFFFF" w:val="clear"/>
            <w:vAlign w:val="center"/>
          </w:tcPr>
          <w:p>
            <w:pPr>
              <w:pStyle w:val="TableContents"/>
              <w:bidi w:val="0"/>
              <w:spacing w:before="0" w:after="283"/>
              <w:jc w:val="left"/>
              <w:rPr>
                <w:rFonts w:ascii="Times New Roman;serif" w:hAnsi="Times New Roman;serif"/>
                <w:sz w:val="16"/>
              </w:rPr>
            </w:pPr>
            <w:r>
              <w:rPr>
                <w:rFonts w:ascii="Times New Roman;serif" w:hAnsi="Times New Roman;serif"/>
                <w:sz w:val="16"/>
              </w:rPr>
              <w:t>Product revenues</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rFonts w:ascii="Times New Roman;serif" w:hAnsi="Times New Roman;serif"/>
                <w:sz w:val="16"/>
              </w:rPr>
            </w:pPr>
            <w:r>
              <w:rPr>
                <w:rFonts w:ascii="Times New Roman;serif" w:hAnsi="Times New Roman;serif"/>
                <w:sz w:val="16"/>
              </w:rPr>
              <w:t>$</w:t>
            </w:r>
          </w:p>
        </w:tc>
        <w:tc>
          <w:tcPr>
            <w:tcW w:w="737" w:type="dxa"/>
            <w:tcBorders/>
            <w:shd w:fill="FFFFFF" w:val="clear"/>
            <w:vAlign w:val="center"/>
          </w:tcPr>
          <w:p>
            <w:pPr>
              <w:pStyle w:val="TableContents"/>
              <w:bidi w:val="0"/>
              <w:spacing w:before="0" w:after="283"/>
              <w:jc w:val="right"/>
              <w:rPr>
                <w:rFonts w:ascii="Times New Roman;serif" w:hAnsi="Times New Roman;serif"/>
                <w:sz w:val="16"/>
              </w:rPr>
            </w:pPr>
            <w:r>
              <w:rPr>
                <w:rFonts w:ascii="Times New Roman;serif" w:hAnsi="Times New Roman;serif"/>
                <w:sz w:val="16"/>
              </w:rPr>
              <w:t>371,617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rFonts w:ascii="Times New Roman;serif" w:hAnsi="Times New Roman;serif"/>
                <w:sz w:val="16"/>
              </w:rPr>
            </w:pPr>
            <w:r>
              <w:rPr>
                <w:rFonts w:ascii="Times New Roman;serif" w:hAnsi="Times New Roman;serif"/>
                <w:sz w:val="16"/>
              </w:rPr>
              <w:t>$</w:t>
            </w:r>
          </w:p>
        </w:tc>
        <w:tc>
          <w:tcPr>
            <w:tcW w:w="829" w:type="dxa"/>
            <w:tcBorders/>
            <w:shd w:fill="FFFFFF" w:val="clear"/>
            <w:vAlign w:val="center"/>
          </w:tcPr>
          <w:p>
            <w:pPr>
              <w:pStyle w:val="TableContents"/>
              <w:bidi w:val="0"/>
              <w:spacing w:before="0" w:after="283"/>
              <w:jc w:val="right"/>
              <w:rPr>
                <w:rFonts w:ascii="Times New Roman;serif" w:hAnsi="Times New Roman;serif"/>
                <w:sz w:val="16"/>
              </w:rPr>
            </w:pPr>
            <w:r>
              <w:rPr>
                <w:rFonts w:ascii="Times New Roman;serif" w:hAnsi="Times New Roman;serif"/>
                <w:sz w:val="16"/>
              </w:rPr>
              <w:t>81,109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rFonts w:ascii="Times New Roman;serif" w:hAnsi="Times New Roman;serif"/>
                <w:sz w:val="16"/>
              </w:rPr>
            </w:pPr>
            <w:r>
              <w:rPr>
                <w:rFonts w:ascii="Times New Roman;serif" w:hAnsi="Times New Roman;serif"/>
                <w:sz w:val="16"/>
              </w:rPr>
              <w:t>$</w:t>
            </w:r>
          </w:p>
        </w:tc>
        <w:tc>
          <w:tcPr>
            <w:tcW w:w="841"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rFonts w:ascii="Times New Roman;serif" w:hAnsi="Times New Roman;serif"/>
                <w:sz w:val="16"/>
              </w:rPr>
            </w:pPr>
            <w:r>
              <w:rPr>
                <w:rFonts w:ascii="Times New Roman;serif" w:hAnsi="Times New Roman;serif"/>
                <w:sz w:val="16"/>
              </w:rPr>
              <w:t>$</w:t>
            </w:r>
          </w:p>
        </w:tc>
        <w:tc>
          <w:tcPr>
            <w:tcW w:w="88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rFonts w:ascii="Times New Roman;serif" w:hAnsi="Times New Roman;serif"/>
                <w:sz w:val="16"/>
              </w:rPr>
            </w:pPr>
            <w:r>
              <w:rPr>
                <w:rFonts w:ascii="Times New Roman;serif" w:hAnsi="Times New Roman;serif"/>
                <w:sz w:val="16"/>
              </w:rPr>
              <w:t>$</w:t>
            </w:r>
          </w:p>
        </w:tc>
        <w:tc>
          <w:tcPr>
            <w:tcW w:w="740" w:type="dxa"/>
            <w:tcBorders/>
            <w:shd w:fill="FFFFFF" w:val="clear"/>
            <w:vAlign w:val="center"/>
          </w:tcPr>
          <w:p>
            <w:pPr>
              <w:pStyle w:val="TableContents"/>
              <w:bidi w:val="0"/>
              <w:spacing w:before="0" w:after="283"/>
              <w:jc w:val="right"/>
              <w:rPr>
                <w:rFonts w:ascii="Times New Roman;serif" w:hAnsi="Times New Roman;serif"/>
                <w:sz w:val="16"/>
              </w:rPr>
            </w:pPr>
            <w:r>
              <w:rPr>
                <w:rFonts w:ascii="Times New Roman;serif" w:hAnsi="Times New Roman;serif"/>
                <w:sz w:val="16"/>
              </w:rPr>
              <w:t>452,726</w:t>
            </w:r>
          </w:p>
        </w:tc>
        <w:tc>
          <w:tcPr>
            <w:tcW w:w="95" w:type="dxa"/>
            <w:tcBorders/>
            <w:shd w:fill="FFFFFF" w:val="clear"/>
            <w:vAlign w:val="center"/>
          </w:tcPr>
          <w:p>
            <w:pPr>
              <w:pStyle w:val="TableContents"/>
              <w:bidi w:val="0"/>
              <w:spacing w:before="0" w:after="283"/>
              <w:jc w:val="left"/>
              <w:rPr/>
            </w:pPr>
            <w:r>
              <w:rPr/>
              <w:t> </w:t>
            </w:r>
          </w:p>
        </w:tc>
      </w:tr>
      <w:tr>
        <w:trPr/>
        <w:tc>
          <w:tcPr>
            <w:tcW w:w="3275" w:type="dxa"/>
            <w:tcBorders/>
            <w:shd w:fill="CCEEFF" w:val="clear"/>
            <w:vAlign w:val="center"/>
          </w:tcPr>
          <w:p>
            <w:pPr>
              <w:pStyle w:val="TableContents"/>
              <w:bidi w:val="0"/>
              <w:spacing w:before="0" w:after="283"/>
              <w:jc w:val="left"/>
              <w:rPr>
                <w:rFonts w:ascii="Times New Roman;serif" w:hAnsi="Times New Roman;serif"/>
                <w:sz w:val="16"/>
              </w:rPr>
            </w:pPr>
            <w:r>
              <w:rPr>
                <w:rFonts w:ascii="Times New Roman;serif" w:hAnsi="Times New Roman;serif"/>
                <w:sz w:val="16"/>
              </w:rPr>
              <w:t>Service revenues</w:t>
            </w:r>
          </w:p>
        </w:tc>
        <w:tc>
          <w:tcPr>
            <w:tcW w:w="60" w:type="dxa"/>
            <w:tcBorders/>
            <w:shd w:fill="CCEEFF" w:val="clear"/>
            <w:vAlign w:val="center"/>
          </w:tcPr>
          <w:p>
            <w:pPr>
              <w:pStyle w:val="TableContents"/>
              <w:bidi w:val="0"/>
              <w:spacing w:before="0" w:after="283"/>
              <w:jc w:val="left"/>
              <w:rPr/>
            </w:pPr>
            <w:r>
              <w:rPr/>
              <w:t> </w:t>
            </w:r>
          </w:p>
        </w:tc>
        <w:tc>
          <w:tcPr>
            <w:tcW w:w="12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3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serif" w:hAnsi="Times New Roman;serif"/>
                <w:sz w:val="16"/>
              </w:rPr>
            </w:pPr>
            <w:r>
              <w:rPr>
                <w:rFonts w:ascii="Times New Roman;serif" w:hAnsi="Times New Roman;serif"/>
                <w:sz w:val="16"/>
              </w:rPr>
              <w:t>230,182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2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serif" w:hAnsi="Times New Roman;serif"/>
                <w:sz w:val="16"/>
              </w:rPr>
            </w:pPr>
            <w:r>
              <w:rPr>
                <w:rFonts w:ascii="Times New Roman;serif" w:hAnsi="Times New Roman;serif"/>
                <w:sz w:val="16"/>
              </w:rPr>
              <w:t>790,550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41"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4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serif" w:hAnsi="Times New Roman;serif"/>
                <w:sz w:val="16"/>
              </w:rPr>
            </w:pPr>
            <w:r>
              <w:rPr>
                <w:rFonts w:ascii="Times New Roman;serif" w:hAnsi="Times New Roman;serif"/>
                <w:sz w:val="16"/>
              </w:rPr>
              <w:t>1,020,732</w:t>
            </w:r>
          </w:p>
        </w:tc>
        <w:tc>
          <w:tcPr>
            <w:tcW w:w="95" w:type="dxa"/>
            <w:tcBorders/>
            <w:shd w:fill="CCEEFF" w:val="clear"/>
            <w:vAlign w:val="center"/>
          </w:tcPr>
          <w:p>
            <w:pPr>
              <w:pStyle w:val="TableContents"/>
              <w:bidi w:val="0"/>
              <w:spacing w:before="0" w:after="283"/>
              <w:jc w:val="left"/>
              <w:rPr/>
            </w:pPr>
            <w:r>
              <w:rPr/>
              <w:t> </w:t>
            </w:r>
          </w:p>
        </w:tc>
      </w:tr>
      <w:tr>
        <w:trPr/>
        <w:tc>
          <w:tcPr>
            <w:tcW w:w="3275" w:type="dxa"/>
            <w:tcBorders/>
            <w:shd w:fill="FFFFFF" w:val="clear"/>
            <w:vAlign w:val="center"/>
          </w:tcPr>
          <w:p>
            <w:pPr>
              <w:pStyle w:val="TableContents"/>
              <w:bidi w:val="0"/>
              <w:spacing w:before="0" w:after="283"/>
              <w:jc w:val="left"/>
              <w:rPr>
                <w:rFonts w:ascii="Times New Roman;serif" w:hAnsi="Times New Roman;serif"/>
                <w:sz w:val="16"/>
              </w:rPr>
            </w:pPr>
            <w:r>
              <w:rPr>
                <w:rFonts w:ascii="Times New Roman;serif" w:hAnsi="Times New Roman;serif"/>
                <w:sz w:val="16"/>
              </w:rPr>
              <w:t>Total revenues</w:t>
            </w:r>
          </w:p>
        </w:tc>
        <w:tc>
          <w:tcPr>
            <w:tcW w:w="60" w:type="dxa"/>
            <w:tcBorders/>
            <w:shd w:fill="FFFFFF" w:val="clear"/>
            <w:vAlign w:val="center"/>
          </w:tcPr>
          <w:p>
            <w:pPr>
              <w:pStyle w:val="TableContents"/>
              <w:bidi w:val="0"/>
              <w:spacing w:before="0" w:after="283"/>
              <w:jc w:val="left"/>
              <w:rPr/>
            </w:pPr>
            <w:r>
              <w:rPr/>
              <w:t> </w:t>
            </w:r>
          </w:p>
        </w:tc>
        <w:tc>
          <w:tcPr>
            <w:tcW w:w="12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3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serif" w:hAnsi="Times New Roman;serif"/>
                <w:sz w:val="16"/>
              </w:rPr>
            </w:pPr>
            <w:r>
              <w:rPr>
                <w:rFonts w:ascii="Times New Roman;serif" w:hAnsi="Times New Roman;serif"/>
                <w:sz w:val="16"/>
              </w:rPr>
              <w:t>601,799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2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serif" w:hAnsi="Times New Roman;serif"/>
                <w:sz w:val="16"/>
              </w:rPr>
            </w:pPr>
            <w:r>
              <w:rPr>
                <w:rFonts w:ascii="Times New Roman;serif" w:hAnsi="Times New Roman;serif"/>
                <w:sz w:val="16"/>
              </w:rPr>
              <w:t>871,659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41"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4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serif" w:hAnsi="Times New Roman;serif"/>
                <w:sz w:val="16"/>
              </w:rPr>
            </w:pPr>
            <w:r>
              <w:rPr>
                <w:rFonts w:ascii="Times New Roman;serif" w:hAnsi="Times New Roman;serif"/>
                <w:sz w:val="16"/>
              </w:rPr>
              <w:t>1,473,458</w:t>
            </w:r>
          </w:p>
        </w:tc>
        <w:tc>
          <w:tcPr>
            <w:tcW w:w="95" w:type="dxa"/>
            <w:tcBorders/>
            <w:shd w:fill="FFFFFF" w:val="clear"/>
            <w:vAlign w:val="center"/>
          </w:tcPr>
          <w:p>
            <w:pPr>
              <w:pStyle w:val="TableContents"/>
              <w:bidi w:val="0"/>
              <w:spacing w:before="0" w:after="283"/>
              <w:jc w:val="left"/>
              <w:rPr/>
            </w:pPr>
            <w:r>
              <w:rPr/>
              <w:t> </w:t>
            </w:r>
          </w:p>
        </w:tc>
      </w:tr>
      <w:tr>
        <w:trPr/>
        <w:tc>
          <w:tcPr>
            <w:tcW w:w="3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73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82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84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88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3275" w:type="dxa"/>
            <w:tcBorders/>
            <w:shd w:fill="FFFFFF" w:val="clear"/>
            <w:vAlign w:val="center"/>
          </w:tcPr>
          <w:p>
            <w:pPr>
              <w:pStyle w:val="TableContents"/>
              <w:bidi w:val="0"/>
              <w:spacing w:before="0" w:after="283"/>
              <w:jc w:val="left"/>
              <w:rPr>
                <w:rFonts w:ascii="Times New Roman;serif" w:hAnsi="Times New Roman;serif"/>
                <w:sz w:val="16"/>
              </w:rPr>
            </w:pPr>
            <w:r>
              <w:rPr>
                <w:rFonts w:ascii="Times New Roman;serif" w:hAnsi="Times New Roman;serif"/>
                <w:sz w:val="16"/>
              </w:rPr>
              <w:t>Cost of revenues:</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73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82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88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3275" w:type="dxa"/>
            <w:tcBorders/>
            <w:shd w:fill="CCEEFF" w:val="clear"/>
            <w:vAlign w:val="center"/>
          </w:tcPr>
          <w:p>
            <w:pPr>
              <w:pStyle w:val="TableContents"/>
              <w:bidi w:val="0"/>
              <w:spacing w:before="0" w:after="283"/>
              <w:jc w:val="left"/>
              <w:rPr>
                <w:rFonts w:ascii="Times New Roman;serif" w:hAnsi="Times New Roman;serif"/>
                <w:sz w:val="16"/>
              </w:rPr>
            </w:pPr>
            <w:r>
              <w:rPr>
                <w:rFonts w:ascii="Times New Roman;serif" w:hAnsi="Times New Roman;serif"/>
                <w:sz w:val="16"/>
              </w:rPr>
              <w:t>Cost of product revenues</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737" w:type="dxa"/>
            <w:tcBorders/>
            <w:shd w:fill="CCEEFF" w:val="clear"/>
            <w:vAlign w:val="center"/>
          </w:tcPr>
          <w:p>
            <w:pPr>
              <w:pStyle w:val="TableContents"/>
              <w:bidi w:val="0"/>
              <w:spacing w:before="0" w:after="283"/>
              <w:jc w:val="right"/>
              <w:rPr>
                <w:rFonts w:ascii="Times New Roman;serif" w:hAnsi="Times New Roman;serif"/>
                <w:sz w:val="16"/>
              </w:rPr>
            </w:pPr>
            <w:r>
              <w:rPr>
                <w:rFonts w:ascii="Times New Roman;serif" w:hAnsi="Times New Roman;serif"/>
                <w:sz w:val="16"/>
              </w:rPr>
              <w:t>252,848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829" w:type="dxa"/>
            <w:tcBorders/>
            <w:shd w:fill="CCEEFF" w:val="clear"/>
            <w:vAlign w:val="center"/>
          </w:tcPr>
          <w:p>
            <w:pPr>
              <w:pStyle w:val="TableContents"/>
              <w:bidi w:val="0"/>
              <w:spacing w:before="0" w:after="283"/>
              <w:jc w:val="right"/>
              <w:rPr>
                <w:rFonts w:ascii="Times New Roman;serif" w:hAnsi="Times New Roman;serif"/>
                <w:sz w:val="16"/>
              </w:rPr>
            </w:pPr>
            <w:r>
              <w:rPr>
                <w:rFonts w:ascii="Times New Roman;serif" w:hAnsi="Times New Roman;serif"/>
                <w:sz w:val="16"/>
              </w:rPr>
              <w:t>68,659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841" w:type="dxa"/>
            <w:tcBorders/>
            <w:shd w:fill="CCEEFF" w:val="clear"/>
            <w:vAlign w:val="center"/>
          </w:tcPr>
          <w:p>
            <w:pPr>
              <w:pStyle w:val="TableContents"/>
              <w:bidi w:val="0"/>
              <w:spacing w:before="0" w:after="283"/>
              <w:jc w:val="right"/>
              <w:rPr>
                <w:rFonts w:ascii="Times New Roman;serif" w:hAnsi="Times New Roman;serif"/>
                <w:sz w:val="16"/>
              </w:rPr>
            </w:pPr>
            <w:r>
              <w:rPr>
                <w:rFonts w:ascii="Times New Roman;serif" w:hAnsi="Times New Roman;serif"/>
                <w:sz w:val="16"/>
              </w:rPr>
              <w:t>3,546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u w:val="single"/>
              </w:rPr>
            </w:pPr>
            <w:r>
              <w:rPr>
                <w:u w:val="single"/>
              </w:rPr>
              <w:t> </w:t>
            </w:r>
          </w:p>
        </w:tc>
        <w:tc>
          <w:tcPr>
            <w:tcW w:w="620" w:type="dxa"/>
            <w:tcBorders/>
            <w:shd w:fill="CCEEFF" w:val="clear"/>
            <w:vAlign w:val="center"/>
          </w:tcPr>
          <w:p>
            <w:pPr>
              <w:pStyle w:val="TableContents"/>
              <w:bidi w:val="0"/>
              <w:spacing w:before="0" w:after="283"/>
              <w:jc w:val="center"/>
              <w:rPr>
                <w:rFonts w:ascii="Times New Roman;serif" w:hAnsi="Times New Roman;serif"/>
                <w:sz w:val="16"/>
                <w:u w:val="single"/>
              </w:rPr>
            </w:pPr>
            <w:r>
              <w:rPr>
                <w:rFonts w:ascii="Times New Roman;serif" w:hAnsi="Times New Roman;serif"/>
                <w:sz w:val="16"/>
                <w:u w:val="single"/>
              </w:rPr>
              <w:t>(i)(j)</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88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rFonts w:ascii="Times New Roman;serif" w:hAnsi="Times New Roman;serif"/>
                <w:sz w:val="16"/>
              </w:rPr>
            </w:pPr>
            <w:r>
              <w:rPr>
                <w:rFonts w:ascii="Times New Roman;serif" w:hAnsi="Times New Roman;serif"/>
                <w:sz w:val="16"/>
              </w:rPr>
              <w:t>325,053</w:t>
            </w:r>
          </w:p>
        </w:tc>
        <w:tc>
          <w:tcPr>
            <w:tcW w:w="95" w:type="dxa"/>
            <w:tcBorders/>
            <w:shd w:fill="CCEEFF" w:val="clear"/>
            <w:vAlign w:val="center"/>
          </w:tcPr>
          <w:p>
            <w:pPr>
              <w:pStyle w:val="TableContents"/>
              <w:bidi w:val="0"/>
              <w:spacing w:before="0" w:after="283"/>
              <w:jc w:val="left"/>
              <w:rPr/>
            </w:pPr>
            <w:r>
              <w:rPr/>
              <w:t> </w:t>
            </w:r>
          </w:p>
        </w:tc>
      </w:tr>
      <w:tr>
        <w:trPr/>
        <w:tc>
          <w:tcPr>
            <w:tcW w:w="3275" w:type="dxa"/>
            <w:tcBorders/>
            <w:shd w:fill="FFFFFF" w:val="clear"/>
            <w:vAlign w:val="center"/>
          </w:tcPr>
          <w:p>
            <w:pPr>
              <w:pStyle w:val="TableContents"/>
              <w:bidi w:val="0"/>
              <w:spacing w:before="0" w:after="283"/>
              <w:jc w:val="left"/>
              <w:rPr>
                <w:rFonts w:ascii="Times New Roman;serif" w:hAnsi="Times New Roman;serif"/>
                <w:sz w:val="16"/>
              </w:rPr>
            </w:pPr>
            <w:r>
              <w:rPr>
                <w:rFonts w:ascii="Times New Roman;serif" w:hAnsi="Times New Roman;serif"/>
                <w:sz w:val="16"/>
              </w:rPr>
              <w:t>Cost of service revenues</w:t>
            </w:r>
          </w:p>
        </w:tc>
        <w:tc>
          <w:tcPr>
            <w:tcW w:w="60" w:type="dxa"/>
            <w:tcBorders/>
            <w:shd w:fill="FFFFFF" w:val="clear"/>
            <w:vAlign w:val="center"/>
          </w:tcPr>
          <w:p>
            <w:pPr>
              <w:pStyle w:val="TableContents"/>
              <w:bidi w:val="0"/>
              <w:spacing w:before="0" w:after="283"/>
              <w:jc w:val="left"/>
              <w:rPr/>
            </w:pPr>
            <w:r>
              <w:rPr/>
              <w:t> </w:t>
            </w:r>
          </w:p>
        </w:tc>
        <w:tc>
          <w:tcPr>
            <w:tcW w:w="12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3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serif" w:hAnsi="Times New Roman;serif"/>
                <w:sz w:val="16"/>
              </w:rPr>
            </w:pPr>
            <w:r>
              <w:rPr>
                <w:rFonts w:ascii="Times New Roman;serif" w:hAnsi="Times New Roman;serif"/>
                <w:sz w:val="16"/>
              </w:rPr>
              <w:t>141,770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2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serif" w:hAnsi="Times New Roman;serif"/>
                <w:sz w:val="16"/>
              </w:rPr>
            </w:pPr>
            <w:r>
              <w:rPr>
                <w:rFonts w:ascii="Times New Roman;serif" w:hAnsi="Times New Roman;serif"/>
                <w:sz w:val="16"/>
              </w:rPr>
              <w:t>375,723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4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serif" w:hAnsi="Times New Roman;serif"/>
                <w:sz w:val="16"/>
              </w:rPr>
            </w:pPr>
            <w:r>
              <w:rPr>
                <w:rFonts w:ascii="Times New Roman;serif" w:hAnsi="Times New Roman;serif"/>
                <w:sz w:val="16"/>
              </w:rPr>
              <w:t>59,928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0" w:type="dxa"/>
            <w:tcBorders/>
            <w:shd w:fill="FFFFFF" w:val="clear"/>
            <w:vAlign w:val="center"/>
          </w:tcPr>
          <w:p>
            <w:pPr>
              <w:pStyle w:val="TableContents"/>
              <w:bidi w:val="0"/>
              <w:spacing w:before="0" w:after="283"/>
              <w:jc w:val="center"/>
              <w:rPr>
                <w:rFonts w:ascii="Times New Roman;serif" w:hAnsi="Times New Roman;serif"/>
                <w:sz w:val="16"/>
                <w:u w:val="single"/>
              </w:rPr>
            </w:pPr>
            <w:r>
              <w:rPr>
                <w:rFonts w:ascii="Times New Roman;serif" w:hAnsi="Times New Roman;serif"/>
                <w:sz w:val="16"/>
                <w:u w:val="single"/>
              </w:rPr>
              <w:t>(i)(j)</w:t>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4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serif" w:hAnsi="Times New Roman;serif"/>
                <w:sz w:val="16"/>
              </w:rPr>
            </w:pPr>
            <w:r>
              <w:rPr>
                <w:rFonts w:ascii="Times New Roman;serif" w:hAnsi="Times New Roman;serif"/>
                <w:sz w:val="16"/>
              </w:rPr>
              <w:t>577,421</w:t>
            </w:r>
          </w:p>
        </w:tc>
        <w:tc>
          <w:tcPr>
            <w:tcW w:w="95" w:type="dxa"/>
            <w:tcBorders/>
            <w:shd w:fill="FFFFFF" w:val="clear"/>
            <w:vAlign w:val="center"/>
          </w:tcPr>
          <w:p>
            <w:pPr>
              <w:pStyle w:val="TableContents"/>
              <w:bidi w:val="0"/>
              <w:spacing w:before="0" w:after="283"/>
              <w:jc w:val="left"/>
              <w:rPr/>
            </w:pPr>
            <w:r>
              <w:rPr/>
              <w:t> </w:t>
            </w:r>
          </w:p>
        </w:tc>
      </w:tr>
      <w:tr>
        <w:trPr/>
        <w:tc>
          <w:tcPr>
            <w:tcW w:w="3275" w:type="dxa"/>
            <w:tcBorders/>
            <w:shd w:fill="CCEEFF" w:val="clear"/>
            <w:vAlign w:val="center"/>
          </w:tcPr>
          <w:p>
            <w:pPr>
              <w:pStyle w:val="TableContents"/>
              <w:bidi w:val="0"/>
              <w:spacing w:before="0" w:after="283"/>
              <w:jc w:val="left"/>
              <w:rPr>
                <w:rFonts w:ascii="Times New Roman;serif" w:hAnsi="Times New Roman;serif"/>
                <w:sz w:val="16"/>
              </w:rPr>
            </w:pPr>
            <w:r>
              <w:rPr>
                <w:rFonts w:ascii="Times New Roman;serif" w:hAnsi="Times New Roman;serif"/>
                <w:sz w:val="16"/>
              </w:rPr>
              <w:t>Total cost of revenues</w:t>
            </w:r>
          </w:p>
        </w:tc>
        <w:tc>
          <w:tcPr>
            <w:tcW w:w="60" w:type="dxa"/>
            <w:tcBorders/>
            <w:shd w:fill="CCEEFF" w:val="clear"/>
            <w:vAlign w:val="center"/>
          </w:tcPr>
          <w:p>
            <w:pPr>
              <w:pStyle w:val="TableContents"/>
              <w:bidi w:val="0"/>
              <w:spacing w:before="0" w:after="283"/>
              <w:jc w:val="left"/>
              <w:rPr/>
            </w:pPr>
            <w:r>
              <w:rPr/>
              <w:t> </w:t>
            </w:r>
          </w:p>
        </w:tc>
        <w:tc>
          <w:tcPr>
            <w:tcW w:w="12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3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serif" w:hAnsi="Times New Roman;serif"/>
                <w:sz w:val="16"/>
              </w:rPr>
            </w:pPr>
            <w:r>
              <w:rPr>
                <w:rFonts w:ascii="Times New Roman;serif" w:hAnsi="Times New Roman;serif"/>
                <w:sz w:val="16"/>
              </w:rPr>
              <w:t>394,618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2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serif" w:hAnsi="Times New Roman;serif"/>
                <w:sz w:val="16"/>
              </w:rPr>
            </w:pPr>
            <w:r>
              <w:rPr>
                <w:rFonts w:ascii="Times New Roman;serif" w:hAnsi="Times New Roman;serif"/>
                <w:sz w:val="16"/>
              </w:rPr>
              <w:t>444,382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4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serif" w:hAnsi="Times New Roman;serif"/>
                <w:sz w:val="16"/>
              </w:rPr>
            </w:pPr>
            <w:r>
              <w:rPr>
                <w:rFonts w:ascii="Times New Roman;serif" w:hAnsi="Times New Roman;serif"/>
                <w:sz w:val="16"/>
              </w:rPr>
              <w:t>63,474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4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serif" w:hAnsi="Times New Roman;serif"/>
                <w:sz w:val="16"/>
              </w:rPr>
            </w:pPr>
            <w:r>
              <w:rPr>
                <w:rFonts w:ascii="Times New Roman;serif" w:hAnsi="Times New Roman;serif"/>
                <w:sz w:val="16"/>
              </w:rPr>
              <w:t>902,474</w:t>
            </w:r>
          </w:p>
        </w:tc>
        <w:tc>
          <w:tcPr>
            <w:tcW w:w="95" w:type="dxa"/>
            <w:tcBorders/>
            <w:shd w:fill="CCEEFF" w:val="clear"/>
            <w:vAlign w:val="center"/>
          </w:tcPr>
          <w:p>
            <w:pPr>
              <w:pStyle w:val="TableContents"/>
              <w:bidi w:val="0"/>
              <w:spacing w:before="0" w:after="283"/>
              <w:jc w:val="left"/>
              <w:rPr/>
            </w:pPr>
            <w:r>
              <w:rPr/>
              <w:t> </w:t>
            </w:r>
          </w:p>
        </w:tc>
      </w:tr>
      <w:tr>
        <w:trPr/>
        <w:tc>
          <w:tcPr>
            <w:tcW w:w="3275" w:type="dxa"/>
            <w:tcBorders/>
            <w:shd w:fill="FFFFFF" w:val="clear"/>
            <w:vAlign w:val="center"/>
          </w:tcPr>
          <w:p>
            <w:pPr>
              <w:pStyle w:val="TableContents"/>
              <w:bidi w:val="0"/>
              <w:spacing w:before="0" w:after="283"/>
              <w:jc w:val="left"/>
              <w:rPr>
                <w:rFonts w:ascii="Times New Roman;serif" w:hAnsi="Times New Roman;serif"/>
                <w:sz w:val="16"/>
              </w:rPr>
            </w:pPr>
            <w:r>
              <w:rPr>
                <w:rFonts w:ascii="Times New Roman;serif" w:hAnsi="Times New Roman;serif"/>
                <w:sz w:val="16"/>
              </w:rPr>
              <w:t>Gross profit</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737" w:type="dxa"/>
            <w:tcBorders/>
            <w:shd w:fill="FFFFFF" w:val="clear"/>
            <w:vAlign w:val="center"/>
          </w:tcPr>
          <w:p>
            <w:pPr>
              <w:pStyle w:val="TableContents"/>
              <w:bidi w:val="0"/>
              <w:spacing w:before="0" w:after="283"/>
              <w:jc w:val="right"/>
              <w:rPr>
                <w:rFonts w:ascii="Times New Roman;serif" w:hAnsi="Times New Roman;serif"/>
                <w:sz w:val="16"/>
              </w:rPr>
            </w:pPr>
            <w:r>
              <w:rPr>
                <w:rFonts w:ascii="Times New Roman;serif" w:hAnsi="Times New Roman;serif"/>
                <w:sz w:val="16"/>
              </w:rPr>
              <w:t>207,181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829" w:type="dxa"/>
            <w:tcBorders/>
            <w:shd w:fill="FFFFFF" w:val="clear"/>
            <w:vAlign w:val="center"/>
          </w:tcPr>
          <w:p>
            <w:pPr>
              <w:pStyle w:val="TableContents"/>
              <w:bidi w:val="0"/>
              <w:spacing w:before="0" w:after="283"/>
              <w:jc w:val="right"/>
              <w:rPr>
                <w:rFonts w:ascii="Times New Roman;serif" w:hAnsi="Times New Roman;serif"/>
                <w:sz w:val="16"/>
              </w:rPr>
            </w:pPr>
            <w:r>
              <w:rPr>
                <w:rFonts w:ascii="Times New Roman;serif" w:hAnsi="Times New Roman;serif"/>
                <w:sz w:val="16"/>
              </w:rPr>
              <w:t>427,277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serif" w:hAnsi="Times New Roman;serif"/>
                <w:sz w:val="16"/>
              </w:rPr>
            </w:pPr>
            <w:r>
              <w:rPr>
                <w:rFonts w:ascii="Times New Roman;serif" w:hAnsi="Times New Roman;serif"/>
                <w:sz w:val="16"/>
              </w:rPr>
              <w:t>(63,474</w:t>
            </w:r>
          </w:p>
        </w:tc>
        <w:tc>
          <w:tcPr>
            <w:tcW w:w="80" w:type="dxa"/>
            <w:tcBorders/>
            <w:shd w:fill="FFFFFF" w:val="clear"/>
            <w:vAlign w:val="center"/>
          </w:tcPr>
          <w:p>
            <w:pPr>
              <w:pStyle w:val="TableContents"/>
              <w:bidi w:val="0"/>
              <w:spacing w:before="0" w:after="283"/>
              <w:jc w:val="left"/>
              <w:rPr>
                <w:rFonts w:ascii="Times New Roman;serif" w:hAnsi="Times New Roman;serif"/>
                <w:sz w:val="16"/>
              </w:rPr>
            </w:pPr>
            <w:r>
              <w:rPr>
                <w:rFonts w:ascii="Times New Roman;serif" w:hAnsi="Times New Roman;serif"/>
                <w:sz w:val="16"/>
              </w:rPr>
              <w:t>)</w:t>
            </w:r>
          </w:p>
        </w:tc>
        <w:tc>
          <w:tcPr>
            <w:tcW w:w="60" w:type="dxa"/>
            <w:tcBorders/>
            <w:shd w:fill="FFFFFF" w:val="clear"/>
            <w:vAlign w:val="center"/>
          </w:tcPr>
          <w:p>
            <w:pPr>
              <w:pStyle w:val="TableContents"/>
              <w:bidi w:val="0"/>
              <w:spacing w:before="0" w:after="283"/>
              <w:jc w:val="left"/>
              <w:rPr/>
            </w:pPr>
            <w:r>
              <w:rPr/>
              <w:t> </w:t>
            </w:r>
          </w:p>
        </w:tc>
        <w:tc>
          <w:tcPr>
            <w:tcW w:w="62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88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rFonts w:ascii="Times New Roman;serif" w:hAnsi="Times New Roman;serif"/>
                <w:sz w:val="16"/>
              </w:rPr>
            </w:pPr>
            <w:r>
              <w:rPr>
                <w:rFonts w:ascii="Times New Roman;serif" w:hAnsi="Times New Roman;serif"/>
                <w:sz w:val="16"/>
              </w:rPr>
              <w:t>570,984</w:t>
            </w:r>
          </w:p>
        </w:tc>
        <w:tc>
          <w:tcPr>
            <w:tcW w:w="95" w:type="dxa"/>
            <w:tcBorders/>
            <w:shd w:fill="FFFFFF" w:val="clear"/>
            <w:vAlign w:val="center"/>
          </w:tcPr>
          <w:p>
            <w:pPr>
              <w:pStyle w:val="TableContents"/>
              <w:bidi w:val="0"/>
              <w:spacing w:before="0" w:after="283"/>
              <w:jc w:val="left"/>
              <w:rPr/>
            </w:pPr>
            <w:r>
              <w:rPr/>
              <w:t> </w:t>
            </w:r>
          </w:p>
        </w:tc>
      </w:tr>
      <w:tr>
        <w:trPr/>
        <w:tc>
          <w:tcPr>
            <w:tcW w:w="3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73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82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84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88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3275" w:type="dxa"/>
            <w:tcBorders/>
            <w:shd w:fill="FFFFFF" w:val="clear"/>
            <w:vAlign w:val="center"/>
          </w:tcPr>
          <w:p>
            <w:pPr>
              <w:pStyle w:val="TableContents"/>
              <w:bidi w:val="0"/>
              <w:spacing w:before="0" w:after="283"/>
              <w:jc w:val="left"/>
              <w:rPr>
                <w:rFonts w:ascii="Times New Roman;serif" w:hAnsi="Times New Roman;serif"/>
                <w:sz w:val="16"/>
              </w:rPr>
            </w:pPr>
            <w:r>
              <w:rPr>
                <w:rFonts w:ascii="Times New Roman;serif" w:hAnsi="Times New Roman;serif"/>
                <w:sz w:val="16"/>
              </w:rPr>
              <w:t>Operating expenses:</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73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82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88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3275" w:type="dxa"/>
            <w:tcBorders/>
            <w:shd w:fill="CCEEFF" w:val="clear"/>
            <w:vAlign w:val="center"/>
          </w:tcPr>
          <w:p>
            <w:pPr>
              <w:pStyle w:val="TableContents"/>
              <w:bidi w:val="0"/>
              <w:spacing w:before="0" w:after="283"/>
              <w:jc w:val="left"/>
              <w:rPr>
                <w:rFonts w:ascii="Times New Roman;serif" w:hAnsi="Times New Roman;serif"/>
                <w:sz w:val="16"/>
              </w:rPr>
            </w:pPr>
            <w:r>
              <w:rPr>
                <w:rFonts w:ascii="Times New Roman;serif" w:hAnsi="Times New Roman;serif"/>
                <w:sz w:val="16"/>
              </w:rPr>
              <w:t>Research and development, net</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737" w:type="dxa"/>
            <w:tcBorders/>
            <w:shd w:fill="CCEEFF" w:val="clear"/>
            <w:vAlign w:val="center"/>
          </w:tcPr>
          <w:p>
            <w:pPr>
              <w:pStyle w:val="TableContents"/>
              <w:bidi w:val="0"/>
              <w:spacing w:before="0" w:after="283"/>
              <w:jc w:val="right"/>
              <w:rPr>
                <w:rFonts w:ascii="Times New Roman;serif" w:hAnsi="Times New Roman;serif"/>
                <w:sz w:val="16"/>
              </w:rPr>
            </w:pPr>
            <w:r>
              <w:rPr>
                <w:rFonts w:ascii="Times New Roman;serif" w:hAnsi="Times New Roman;serif"/>
                <w:sz w:val="16"/>
              </w:rPr>
              <w:t>270,716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829" w:type="dxa"/>
            <w:tcBorders/>
            <w:shd w:fill="CCEEFF" w:val="clear"/>
            <w:vAlign w:val="center"/>
          </w:tcPr>
          <w:p>
            <w:pPr>
              <w:pStyle w:val="TableContents"/>
              <w:bidi w:val="0"/>
              <w:spacing w:before="0" w:after="283"/>
              <w:jc w:val="right"/>
              <w:rPr>
                <w:rFonts w:ascii="Times New Roman;serif" w:hAnsi="Times New Roman;serif"/>
                <w:sz w:val="16"/>
              </w:rPr>
            </w:pPr>
            <w:r>
              <w:rPr>
                <w:rFonts w:ascii="Times New Roman;serif" w:hAnsi="Times New Roman;serif"/>
                <w:sz w:val="16"/>
              </w:rPr>
              <w:t>19,758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841" w:type="dxa"/>
            <w:tcBorders/>
            <w:shd w:fill="CCEEFF" w:val="clear"/>
            <w:vAlign w:val="center"/>
          </w:tcPr>
          <w:p>
            <w:pPr>
              <w:pStyle w:val="TableContents"/>
              <w:bidi w:val="0"/>
              <w:spacing w:before="0" w:after="283"/>
              <w:jc w:val="right"/>
              <w:rPr>
                <w:rFonts w:ascii="Times New Roman;serif" w:hAnsi="Times New Roman;serif"/>
                <w:sz w:val="16"/>
              </w:rPr>
            </w:pPr>
            <w:r>
              <w:rPr>
                <w:rFonts w:ascii="Times New Roman;serif" w:hAnsi="Times New Roman;serif"/>
                <w:sz w:val="16"/>
              </w:rPr>
              <w:t>2,317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rFonts w:ascii="Times New Roman;serif" w:hAnsi="Times New Roman;serif"/>
                <w:sz w:val="16"/>
              </w:rPr>
            </w:pPr>
            <w:r>
              <w:rPr>
                <w:rFonts w:ascii="Times New Roman;serif" w:hAnsi="Times New Roman;serif"/>
                <w:sz w:val="16"/>
              </w:rPr>
              <w:t>(j)</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88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rFonts w:ascii="Times New Roman;serif" w:hAnsi="Times New Roman;serif"/>
                <w:sz w:val="16"/>
              </w:rPr>
            </w:pPr>
            <w:r>
              <w:rPr>
                <w:rFonts w:ascii="Times New Roman;serif" w:hAnsi="Times New Roman;serif"/>
                <w:sz w:val="16"/>
              </w:rPr>
              <w:t>292,791</w:t>
            </w:r>
          </w:p>
        </w:tc>
        <w:tc>
          <w:tcPr>
            <w:tcW w:w="95" w:type="dxa"/>
            <w:tcBorders/>
            <w:shd w:fill="CCEEFF" w:val="clear"/>
            <w:vAlign w:val="center"/>
          </w:tcPr>
          <w:p>
            <w:pPr>
              <w:pStyle w:val="TableContents"/>
              <w:bidi w:val="0"/>
              <w:spacing w:before="0" w:after="283"/>
              <w:jc w:val="left"/>
              <w:rPr/>
            </w:pPr>
            <w:r>
              <w:rPr/>
              <w:t> </w:t>
            </w:r>
          </w:p>
        </w:tc>
      </w:tr>
      <w:tr>
        <w:trPr/>
        <w:tc>
          <w:tcPr>
            <w:tcW w:w="3275" w:type="dxa"/>
            <w:tcBorders/>
            <w:shd w:fill="FFFFFF" w:val="clear"/>
            <w:vAlign w:val="center"/>
          </w:tcPr>
          <w:p>
            <w:pPr>
              <w:pStyle w:val="TableContents"/>
              <w:bidi w:val="0"/>
              <w:spacing w:before="0" w:after="283"/>
              <w:jc w:val="left"/>
              <w:rPr>
                <w:rFonts w:ascii="Times New Roman;serif" w:hAnsi="Times New Roman;serif"/>
                <w:sz w:val="16"/>
              </w:rPr>
            </w:pPr>
            <w:r>
              <w:rPr>
                <w:rFonts w:ascii="Times New Roman;serif" w:hAnsi="Times New Roman;serif"/>
                <w:sz w:val="16"/>
              </w:rPr>
              <w:t>Selling, general and administrative</w:t>
            </w:r>
          </w:p>
        </w:tc>
        <w:tc>
          <w:tcPr>
            <w:tcW w:w="60" w:type="dxa"/>
            <w:tcBorders/>
            <w:shd w:fill="FFFFFF" w:val="clear"/>
            <w:vAlign w:val="center"/>
          </w:tcPr>
          <w:p>
            <w:pPr>
              <w:pStyle w:val="TableContents"/>
              <w:bidi w:val="0"/>
              <w:spacing w:before="0" w:after="283"/>
              <w:jc w:val="left"/>
              <w:rPr/>
            </w:pPr>
            <w:r>
              <w:rPr/>
              <w:t> </w:t>
            </w:r>
          </w:p>
        </w:tc>
        <w:tc>
          <w:tcPr>
            <w:tcW w:w="12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3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serif" w:hAnsi="Times New Roman;serif"/>
                <w:sz w:val="16"/>
              </w:rPr>
            </w:pPr>
            <w:r>
              <w:rPr>
                <w:rFonts w:ascii="Times New Roman;serif" w:hAnsi="Times New Roman;serif"/>
                <w:sz w:val="16"/>
              </w:rPr>
              <w:t>165,303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2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serif" w:hAnsi="Times New Roman;serif"/>
                <w:sz w:val="16"/>
              </w:rPr>
            </w:pPr>
            <w:r>
              <w:rPr>
                <w:rFonts w:ascii="Times New Roman;serif" w:hAnsi="Times New Roman;serif"/>
                <w:sz w:val="16"/>
              </w:rPr>
              <w:t>171,539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4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serif" w:hAnsi="Times New Roman;serif"/>
                <w:sz w:val="16"/>
              </w:rPr>
            </w:pPr>
            <w:r>
              <w:rPr>
                <w:rFonts w:ascii="Times New Roman;serif" w:hAnsi="Times New Roman;serif"/>
                <w:sz w:val="16"/>
              </w:rPr>
              <w:t>254,793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0" w:type="dxa"/>
            <w:tcBorders/>
            <w:shd w:fill="FFFFFF" w:val="clear"/>
            <w:vAlign w:val="center"/>
          </w:tcPr>
          <w:p>
            <w:pPr>
              <w:pStyle w:val="TableContents"/>
              <w:bidi w:val="0"/>
              <w:spacing w:before="0" w:after="283"/>
              <w:jc w:val="center"/>
              <w:rPr>
                <w:rFonts w:ascii="Times New Roman;serif" w:hAnsi="Times New Roman;serif"/>
                <w:sz w:val="16"/>
              </w:rPr>
            </w:pPr>
            <w:r>
              <w:rPr>
                <w:rFonts w:ascii="Times New Roman;serif" w:hAnsi="Times New Roman;serif"/>
                <w:sz w:val="16"/>
              </w:rPr>
              <w:t>(i)(j)(k)</w:t>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4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serif" w:hAnsi="Times New Roman;serif"/>
                <w:sz w:val="16"/>
              </w:rPr>
            </w:pPr>
            <w:r>
              <w:rPr>
                <w:rFonts w:ascii="Times New Roman;serif" w:hAnsi="Times New Roman;serif"/>
                <w:sz w:val="16"/>
              </w:rPr>
              <w:t>591,635</w:t>
            </w:r>
          </w:p>
        </w:tc>
        <w:tc>
          <w:tcPr>
            <w:tcW w:w="95" w:type="dxa"/>
            <w:tcBorders/>
            <w:shd w:fill="FFFFFF" w:val="clear"/>
            <w:vAlign w:val="center"/>
          </w:tcPr>
          <w:p>
            <w:pPr>
              <w:pStyle w:val="TableContents"/>
              <w:bidi w:val="0"/>
              <w:spacing w:before="0" w:after="283"/>
              <w:jc w:val="left"/>
              <w:rPr/>
            </w:pPr>
            <w:r>
              <w:rPr/>
              <w:t> </w:t>
            </w:r>
          </w:p>
        </w:tc>
      </w:tr>
      <w:tr>
        <w:trPr/>
        <w:tc>
          <w:tcPr>
            <w:tcW w:w="3275" w:type="dxa"/>
            <w:tcBorders/>
            <w:shd w:fill="CCEEFF" w:val="clear"/>
            <w:vAlign w:val="center"/>
          </w:tcPr>
          <w:p>
            <w:pPr>
              <w:pStyle w:val="TableContents"/>
              <w:bidi w:val="0"/>
              <w:spacing w:before="0" w:after="283"/>
              <w:jc w:val="left"/>
              <w:rPr>
                <w:rFonts w:ascii="Times New Roman;serif" w:hAnsi="Times New Roman;serif"/>
                <w:sz w:val="16"/>
              </w:rPr>
            </w:pPr>
            <w:r>
              <w:rPr>
                <w:rFonts w:ascii="Times New Roman;serif" w:hAnsi="Times New Roman;serif"/>
                <w:sz w:val="16"/>
              </w:rPr>
              <w:t>Total operating expenses</w:t>
            </w:r>
          </w:p>
        </w:tc>
        <w:tc>
          <w:tcPr>
            <w:tcW w:w="60" w:type="dxa"/>
            <w:tcBorders/>
            <w:shd w:fill="CCEEFF" w:val="clear"/>
            <w:vAlign w:val="center"/>
          </w:tcPr>
          <w:p>
            <w:pPr>
              <w:pStyle w:val="TableContents"/>
              <w:bidi w:val="0"/>
              <w:spacing w:before="0" w:after="283"/>
              <w:jc w:val="left"/>
              <w:rPr/>
            </w:pPr>
            <w:r>
              <w:rPr/>
              <w:t> </w:t>
            </w:r>
          </w:p>
        </w:tc>
        <w:tc>
          <w:tcPr>
            <w:tcW w:w="12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3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serif" w:hAnsi="Times New Roman;serif"/>
                <w:sz w:val="16"/>
              </w:rPr>
            </w:pPr>
            <w:r>
              <w:rPr>
                <w:rFonts w:ascii="Times New Roman;serif" w:hAnsi="Times New Roman;serif"/>
                <w:sz w:val="16"/>
              </w:rPr>
              <w:t>436,019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2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serif" w:hAnsi="Times New Roman;serif"/>
                <w:sz w:val="16"/>
              </w:rPr>
            </w:pPr>
            <w:r>
              <w:rPr>
                <w:rFonts w:ascii="Times New Roman;serif" w:hAnsi="Times New Roman;serif"/>
                <w:sz w:val="16"/>
              </w:rPr>
              <w:t>191,297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4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serif" w:hAnsi="Times New Roman;serif"/>
                <w:sz w:val="16"/>
              </w:rPr>
            </w:pPr>
            <w:r>
              <w:rPr>
                <w:rFonts w:ascii="Times New Roman;serif" w:hAnsi="Times New Roman;serif"/>
                <w:sz w:val="16"/>
              </w:rPr>
              <w:t>257,110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4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serif" w:hAnsi="Times New Roman;serif"/>
                <w:sz w:val="16"/>
              </w:rPr>
            </w:pPr>
            <w:r>
              <w:rPr>
                <w:rFonts w:ascii="Times New Roman;serif" w:hAnsi="Times New Roman;serif"/>
                <w:sz w:val="16"/>
              </w:rPr>
              <w:t>884,426</w:t>
            </w:r>
          </w:p>
        </w:tc>
        <w:tc>
          <w:tcPr>
            <w:tcW w:w="95" w:type="dxa"/>
            <w:tcBorders/>
            <w:shd w:fill="CCEEFF" w:val="clear"/>
            <w:vAlign w:val="center"/>
          </w:tcPr>
          <w:p>
            <w:pPr>
              <w:pStyle w:val="TableContents"/>
              <w:bidi w:val="0"/>
              <w:spacing w:before="0" w:after="283"/>
              <w:jc w:val="left"/>
              <w:rPr/>
            </w:pPr>
            <w:r>
              <w:rPr/>
              <w:t> </w:t>
            </w:r>
          </w:p>
        </w:tc>
      </w:tr>
      <w:tr>
        <w:trPr/>
        <w:tc>
          <w:tcPr>
            <w:tcW w:w="3275" w:type="dxa"/>
            <w:tcBorders/>
            <w:shd w:fill="FFFFFF" w:val="clear"/>
            <w:vAlign w:val="center"/>
          </w:tcPr>
          <w:p>
            <w:pPr>
              <w:pStyle w:val="TableContents"/>
              <w:bidi w:val="0"/>
              <w:spacing w:before="0" w:after="283"/>
              <w:jc w:val="left"/>
              <w:rPr>
                <w:rFonts w:ascii="Times New Roman;serif" w:hAnsi="Times New Roman;serif"/>
                <w:sz w:val="16"/>
              </w:rPr>
            </w:pPr>
            <w:r>
              <w:rPr>
                <w:rFonts w:ascii="Times New Roman;serif" w:hAnsi="Times New Roman;serif"/>
                <w:sz w:val="16"/>
              </w:rPr>
              <w:t>Operating income (loss)</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737" w:type="dxa"/>
            <w:tcBorders/>
            <w:shd w:fill="FFFFFF" w:val="clear"/>
            <w:vAlign w:val="center"/>
          </w:tcPr>
          <w:p>
            <w:pPr>
              <w:pStyle w:val="TableContents"/>
              <w:bidi w:val="0"/>
              <w:spacing w:before="0" w:after="283"/>
              <w:jc w:val="right"/>
              <w:rPr>
                <w:rFonts w:ascii="Times New Roman;serif" w:hAnsi="Times New Roman;serif"/>
                <w:sz w:val="16"/>
              </w:rPr>
            </w:pPr>
            <w:r>
              <w:rPr>
                <w:rFonts w:ascii="Times New Roman;serif" w:hAnsi="Times New Roman;serif"/>
                <w:sz w:val="16"/>
              </w:rPr>
              <w:t>(228,838</w:t>
            </w:r>
          </w:p>
        </w:tc>
        <w:tc>
          <w:tcPr>
            <w:tcW w:w="80" w:type="dxa"/>
            <w:tcBorders/>
            <w:shd w:fill="FFFFFF" w:val="clear"/>
            <w:vAlign w:val="center"/>
          </w:tcPr>
          <w:p>
            <w:pPr>
              <w:pStyle w:val="TableContents"/>
              <w:bidi w:val="0"/>
              <w:spacing w:before="0" w:after="283"/>
              <w:jc w:val="left"/>
              <w:rPr>
                <w:rFonts w:ascii="Times New Roman;serif" w:hAnsi="Times New Roman;serif"/>
                <w:sz w:val="16"/>
              </w:rPr>
            </w:pPr>
            <w:r>
              <w:rPr>
                <w:rFonts w:ascii="Times New Roman;serif" w:hAnsi="Times New Roman;serif"/>
                <w:sz w:val="16"/>
              </w:rPr>
              <w:t>)</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829" w:type="dxa"/>
            <w:tcBorders/>
            <w:shd w:fill="FFFFFF" w:val="clear"/>
            <w:vAlign w:val="center"/>
          </w:tcPr>
          <w:p>
            <w:pPr>
              <w:pStyle w:val="TableContents"/>
              <w:bidi w:val="0"/>
              <w:spacing w:before="0" w:after="283"/>
              <w:jc w:val="right"/>
              <w:rPr>
                <w:rFonts w:ascii="Times New Roman;serif" w:hAnsi="Times New Roman;serif"/>
                <w:sz w:val="16"/>
              </w:rPr>
            </w:pPr>
            <w:r>
              <w:rPr>
                <w:rFonts w:ascii="Times New Roman;serif" w:hAnsi="Times New Roman;serif"/>
                <w:sz w:val="16"/>
              </w:rPr>
              <w:t>235,980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serif" w:hAnsi="Times New Roman;serif"/>
                <w:sz w:val="16"/>
              </w:rPr>
            </w:pPr>
            <w:r>
              <w:rPr>
                <w:rFonts w:ascii="Times New Roman;serif" w:hAnsi="Times New Roman;serif"/>
                <w:sz w:val="16"/>
              </w:rPr>
              <w:t>(320,584</w:t>
            </w:r>
          </w:p>
        </w:tc>
        <w:tc>
          <w:tcPr>
            <w:tcW w:w="80" w:type="dxa"/>
            <w:tcBorders/>
            <w:shd w:fill="FFFFFF" w:val="clear"/>
            <w:vAlign w:val="center"/>
          </w:tcPr>
          <w:p>
            <w:pPr>
              <w:pStyle w:val="TableContents"/>
              <w:bidi w:val="0"/>
              <w:spacing w:before="0" w:after="283"/>
              <w:jc w:val="left"/>
              <w:rPr>
                <w:rFonts w:ascii="Times New Roman;serif" w:hAnsi="Times New Roman;serif"/>
                <w:sz w:val="16"/>
              </w:rPr>
            </w:pPr>
            <w:r>
              <w:rPr>
                <w:rFonts w:ascii="Times New Roman;serif" w:hAnsi="Times New Roman;serif"/>
                <w:sz w:val="16"/>
              </w:rPr>
              <w:t>)</w:t>
            </w:r>
          </w:p>
        </w:tc>
        <w:tc>
          <w:tcPr>
            <w:tcW w:w="60" w:type="dxa"/>
            <w:tcBorders/>
            <w:shd w:fill="FFFFFF" w:val="clear"/>
            <w:vAlign w:val="center"/>
          </w:tcPr>
          <w:p>
            <w:pPr>
              <w:pStyle w:val="TableContents"/>
              <w:bidi w:val="0"/>
              <w:spacing w:before="0" w:after="283"/>
              <w:jc w:val="left"/>
              <w:rPr/>
            </w:pPr>
            <w:r>
              <w:rPr/>
              <w:t> </w:t>
            </w:r>
          </w:p>
        </w:tc>
        <w:tc>
          <w:tcPr>
            <w:tcW w:w="62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88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rFonts w:ascii="Times New Roman;serif" w:hAnsi="Times New Roman;serif"/>
                <w:sz w:val="16"/>
              </w:rPr>
            </w:pPr>
            <w:r>
              <w:rPr>
                <w:rFonts w:ascii="Times New Roman;serif" w:hAnsi="Times New Roman;serif"/>
                <w:sz w:val="16"/>
              </w:rPr>
              <w:t>(313,442</w:t>
            </w:r>
          </w:p>
        </w:tc>
        <w:tc>
          <w:tcPr>
            <w:tcW w:w="95" w:type="dxa"/>
            <w:tcBorders/>
            <w:shd w:fill="FFFFFF" w:val="clear"/>
            <w:vAlign w:val="center"/>
          </w:tcPr>
          <w:p>
            <w:pPr>
              <w:pStyle w:val="TableContents"/>
              <w:bidi w:val="0"/>
              <w:spacing w:before="0" w:after="283"/>
              <w:jc w:val="left"/>
              <w:rPr>
                <w:rFonts w:ascii="Times New Roman;serif" w:hAnsi="Times New Roman;serif"/>
                <w:sz w:val="16"/>
              </w:rPr>
            </w:pPr>
            <w:r>
              <w:rPr>
                <w:rFonts w:ascii="Times New Roman;serif" w:hAnsi="Times New Roman;serif"/>
                <w:sz w:val="16"/>
              </w:rPr>
              <w:t>)</w:t>
            </w:r>
          </w:p>
        </w:tc>
      </w:tr>
      <w:tr>
        <w:trPr/>
        <w:tc>
          <w:tcPr>
            <w:tcW w:w="3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73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82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84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88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3275" w:type="dxa"/>
            <w:tcBorders/>
            <w:shd w:fill="FFFFFF" w:val="clear"/>
            <w:vAlign w:val="center"/>
          </w:tcPr>
          <w:p>
            <w:pPr>
              <w:pStyle w:val="TableContents"/>
              <w:bidi w:val="0"/>
              <w:spacing w:before="0" w:after="283"/>
              <w:jc w:val="left"/>
              <w:rPr>
                <w:rFonts w:ascii="Times New Roman;serif" w:hAnsi="Times New Roman;serif"/>
                <w:sz w:val="16"/>
              </w:rPr>
            </w:pPr>
            <w:r>
              <w:rPr>
                <w:rFonts w:ascii="Times New Roman;serif" w:hAnsi="Times New Roman;serif"/>
                <w:sz w:val="16"/>
              </w:rPr>
              <w:t>Other income (expense):</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73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82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88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3275" w:type="dxa"/>
            <w:tcBorders/>
            <w:shd w:fill="CCEEFF" w:val="clear"/>
            <w:vAlign w:val="center"/>
          </w:tcPr>
          <w:p>
            <w:pPr>
              <w:pStyle w:val="TableContents"/>
              <w:bidi w:val="0"/>
              <w:spacing w:before="0" w:after="283"/>
              <w:jc w:val="left"/>
              <w:rPr>
                <w:rFonts w:ascii="Times New Roman;serif" w:hAnsi="Times New Roman;serif"/>
                <w:sz w:val="16"/>
              </w:rPr>
            </w:pPr>
            <w:r>
              <w:rPr>
                <w:rFonts w:ascii="Times New Roman;serif" w:hAnsi="Times New Roman;serif"/>
                <w:sz w:val="16"/>
              </w:rPr>
              <w:t>Interest expense</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737" w:type="dxa"/>
            <w:tcBorders/>
            <w:shd w:fill="CCEEFF" w:val="clear"/>
            <w:vAlign w:val="center"/>
          </w:tcPr>
          <w:p>
            <w:pPr>
              <w:pStyle w:val="TableContents"/>
              <w:bidi w:val="0"/>
              <w:spacing w:before="0" w:after="283"/>
              <w:jc w:val="right"/>
              <w:rPr>
                <w:rFonts w:ascii="Times New Roman;serif" w:hAnsi="Times New Roman;serif"/>
                <w:sz w:val="16"/>
              </w:rPr>
            </w:pPr>
            <w:r>
              <w:rPr>
                <w:rFonts w:ascii="Times New Roman;serif" w:hAnsi="Times New Roman;serif"/>
                <w:sz w:val="16"/>
              </w:rPr>
              <w:t>(26,489</w:t>
            </w:r>
          </w:p>
        </w:tc>
        <w:tc>
          <w:tcPr>
            <w:tcW w:w="80" w:type="dxa"/>
            <w:tcBorders/>
            <w:shd w:fill="CCEEFF" w:val="clear"/>
            <w:vAlign w:val="center"/>
          </w:tcPr>
          <w:p>
            <w:pPr>
              <w:pStyle w:val="TableContents"/>
              <w:bidi w:val="0"/>
              <w:spacing w:before="0" w:after="283"/>
              <w:jc w:val="left"/>
              <w:rPr>
                <w:rFonts w:ascii="Times New Roman;serif" w:hAnsi="Times New Roman;serif"/>
                <w:sz w:val="16"/>
              </w:rPr>
            </w:pPr>
            <w:r>
              <w:rPr>
                <w:rFonts w:ascii="Times New Roman;serif" w:hAnsi="Times New Roman;serif"/>
                <w:sz w:val="16"/>
              </w:rPr>
              <w:t>)</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829" w:type="dxa"/>
            <w:tcBorders/>
            <w:shd w:fill="CCEEFF" w:val="clear"/>
            <w:vAlign w:val="center"/>
          </w:tcPr>
          <w:p>
            <w:pPr>
              <w:pStyle w:val="TableContents"/>
              <w:bidi w:val="0"/>
              <w:spacing w:before="0" w:after="283"/>
              <w:jc w:val="right"/>
              <w:rPr>
                <w:rFonts w:ascii="Times New Roman;serif" w:hAnsi="Times New Roman;serif"/>
                <w:sz w:val="16"/>
              </w:rPr>
            </w:pPr>
            <w:r>
              <w:rPr>
                <w:rFonts w:ascii="Times New Roman;serif" w:hAnsi="Times New Roman;serif"/>
                <w:sz w:val="16"/>
              </w:rPr>
              <w:t>(93,529</w:t>
            </w:r>
          </w:p>
        </w:tc>
        <w:tc>
          <w:tcPr>
            <w:tcW w:w="80" w:type="dxa"/>
            <w:tcBorders/>
            <w:shd w:fill="CCEEFF" w:val="clear"/>
            <w:vAlign w:val="center"/>
          </w:tcPr>
          <w:p>
            <w:pPr>
              <w:pStyle w:val="TableContents"/>
              <w:bidi w:val="0"/>
              <w:spacing w:before="0" w:after="283"/>
              <w:jc w:val="left"/>
              <w:rPr>
                <w:rFonts w:ascii="Times New Roman;serif" w:hAnsi="Times New Roman;serif"/>
                <w:sz w:val="16"/>
              </w:rPr>
            </w:pPr>
            <w:r>
              <w:rPr>
                <w:rFonts w:ascii="Times New Roman;serif" w:hAnsi="Times New Roman;serif"/>
                <w:sz w:val="16"/>
              </w:rPr>
              <w:t>)</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841" w:type="dxa"/>
            <w:tcBorders/>
            <w:shd w:fill="CCEEFF" w:val="clear"/>
            <w:vAlign w:val="center"/>
          </w:tcPr>
          <w:p>
            <w:pPr>
              <w:pStyle w:val="TableContents"/>
              <w:bidi w:val="0"/>
              <w:spacing w:before="0" w:after="283"/>
              <w:jc w:val="right"/>
              <w:rPr>
                <w:rFonts w:ascii="Times New Roman;serif" w:hAnsi="Times New Roman;serif"/>
                <w:sz w:val="16"/>
              </w:rPr>
            </w:pPr>
            <w:r>
              <w:rPr>
                <w:rFonts w:ascii="Times New Roman;serif" w:hAnsi="Times New Roman;serif"/>
                <w:sz w:val="16"/>
              </w:rPr>
              <w:t>93,529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rFonts w:ascii="Times New Roman;serif" w:hAnsi="Times New Roman;serif"/>
                <w:sz w:val="16"/>
              </w:rPr>
            </w:pPr>
            <w:r>
              <w:rPr>
                <w:rFonts w:ascii="Times New Roman;serif" w:hAnsi="Times New Roman;serif"/>
                <w:sz w:val="16"/>
              </w:rPr>
              <w:t>(l)</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880" w:type="dxa"/>
            <w:tcBorders/>
            <w:shd w:fill="CCEEFF" w:val="clear"/>
            <w:vAlign w:val="center"/>
          </w:tcPr>
          <w:p>
            <w:pPr>
              <w:pStyle w:val="TableContents"/>
              <w:bidi w:val="0"/>
              <w:spacing w:before="0" w:after="283"/>
              <w:jc w:val="right"/>
              <w:rPr>
                <w:rFonts w:ascii="Times New Roman;serif" w:hAnsi="Times New Roman;serif"/>
                <w:sz w:val="16"/>
              </w:rPr>
            </w:pPr>
            <w:r>
              <w:rPr>
                <w:rFonts w:ascii="Times New Roman;serif" w:hAnsi="Times New Roman;serif"/>
                <w:sz w:val="16"/>
              </w:rPr>
              <w:t>(285,669</w:t>
            </w:r>
          </w:p>
        </w:tc>
        <w:tc>
          <w:tcPr>
            <w:tcW w:w="80" w:type="dxa"/>
            <w:tcBorders/>
            <w:shd w:fill="CCEEFF" w:val="clear"/>
            <w:vAlign w:val="center"/>
          </w:tcPr>
          <w:p>
            <w:pPr>
              <w:pStyle w:val="TableContents"/>
              <w:bidi w:val="0"/>
              <w:spacing w:before="0" w:after="283"/>
              <w:jc w:val="left"/>
              <w:rPr>
                <w:rFonts w:ascii="Times New Roman;serif" w:hAnsi="Times New Roman;serif"/>
                <w:sz w:val="16"/>
              </w:rPr>
            </w:pPr>
            <w:r>
              <w:rPr>
                <w:rFonts w:ascii="Times New Roman;serif" w:hAnsi="Times New Roman;serif"/>
                <w:sz w:val="16"/>
              </w:rPr>
              <w:t>)</w:t>
            </w:r>
          </w:p>
        </w:tc>
        <w:tc>
          <w:tcPr>
            <w:tcW w:w="6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rFonts w:ascii="Times New Roman;serif" w:hAnsi="Times New Roman;serif"/>
                <w:sz w:val="16"/>
              </w:rPr>
            </w:pPr>
            <w:r>
              <w:rPr>
                <w:rFonts w:ascii="Times New Roman;serif" w:hAnsi="Times New Roman;serif"/>
                <w:sz w:val="16"/>
              </w:rPr>
              <w:t>(b)</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rFonts w:ascii="Times New Roman;serif" w:hAnsi="Times New Roman;serif"/>
                <w:sz w:val="16"/>
              </w:rPr>
            </w:pPr>
            <w:r>
              <w:rPr>
                <w:rFonts w:ascii="Times New Roman;serif" w:hAnsi="Times New Roman;serif"/>
                <w:sz w:val="16"/>
              </w:rPr>
              <w:t>(312,158</w:t>
            </w:r>
          </w:p>
        </w:tc>
        <w:tc>
          <w:tcPr>
            <w:tcW w:w="95" w:type="dxa"/>
            <w:tcBorders/>
            <w:shd w:fill="CCEEFF" w:val="clear"/>
            <w:vAlign w:val="center"/>
          </w:tcPr>
          <w:p>
            <w:pPr>
              <w:pStyle w:val="TableContents"/>
              <w:bidi w:val="0"/>
              <w:spacing w:before="0" w:after="283"/>
              <w:jc w:val="left"/>
              <w:rPr>
                <w:rFonts w:ascii="Times New Roman;serif" w:hAnsi="Times New Roman;serif"/>
                <w:sz w:val="16"/>
              </w:rPr>
            </w:pPr>
            <w:r>
              <w:rPr>
                <w:rFonts w:ascii="Times New Roman;serif" w:hAnsi="Times New Roman;serif"/>
                <w:sz w:val="16"/>
              </w:rPr>
              <w:t>)</w:t>
            </w:r>
          </w:p>
        </w:tc>
      </w:tr>
      <w:tr>
        <w:trPr/>
        <w:tc>
          <w:tcPr>
            <w:tcW w:w="3275" w:type="dxa"/>
            <w:tcBorders/>
            <w:shd w:fill="FFFFFF" w:val="clear"/>
            <w:vAlign w:val="center"/>
          </w:tcPr>
          <w:p>
            <w:pPr>
              <w:pStyle w:val="TableContents"/>
              <w:bidi w:val="0"/>
              <w:spacing w:before="0" w:after="283"/>
              <w:jc w:val="left"/>
              <w:rPr>
                <w:rFonts w:ascii="Times New Roman;serif" w:hAnsi="Times New Roman;serif"/>
                <w:sz w:val="16"/>
              </w:rPr>
            </w:pPr>
            <w:r>
              <w:rPr>
                <w:rFonts w:ascii="Times New Roman;serif" w:hAnsi="Times New Roman;serif"/>
                <w:sz w:val="16"/>
              </w:rPr>
              <w:t>Interest income</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737" w:type="dxa"/>
            <w:tcBorders/>
            <w:shd w:fill="FFFFFF" w:val="clear"/>
            <w:vAlign w:val="center"/>
          </w:tcPr>
          <w:p>
            <w:pPr>
              <w:pStyle w:val="TableContents"/>
              <w:bidi w:val="0"/>
              <w:spacing w:before="0" w:after="283"/>
              <w:jc w:val="right"/>
              <w:rPr>
                <w:rFonts w:ascii="Times New Roman;serif" w:hAnsi="Times New Roman;serif"/>
                <w:sz w:val="16"/>
              </w:rPr>
            </w:pPr>
            <w:r>
              <w:rPr>
                <w:rFonts w:ascii="Times New Roman;serif" w:hAnsi="Times New Roman;serif"/>
                <w:sz w:val="16"/>
              </w:rPr>
              <w:t>25,512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829" w:type="dxa"/>
            <w:tcBorders/>
            <w:shd w:fill="FFFFFF" w:val="clear"/>
            <w:vAlign w:val="center"/>
          </w:tcPr>
          <w:p>
            <w:pPr>
              <w:pStyle w:val="TableContents"/>
              <w:bidi w:val="0"/>
              <w:spacing w:before="0" w:after="283"/>
              <w:jc w:val="right"/>
              <w:rPr>
                <w:rFonts w:ascii="Times New Roman;serif" w:hAnsi="Times New Roman;serif"/>
                <w:sz w:val="16"/>
              </w:rPr>
            </w:pPr>
            <w:r>
              <w:rPr>
                <w:rFonts w:ascii="Times New Roman;serif" w:hAnsi="Times New Roman;serif"/>
                <w:sz w:val="16"/>
              </w:rPr>
              <w:t>5,277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88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rFonts w:ascii="Times New Roman;serif" w:hAnsi="Times New Roman;serif"/>
                <w:sz w:val="16"/>
              </w:rPr>
            </w:pPr>
            <w:r>
              <w:rPr>
                <w:rFonts w:ascii="Times New Roman;serif" w:hAnsi="Times New Roman;serif"/>
                <w:sz w:val="16"/>
              </w:rPr>
              <w:t>30,789</w:t>
            </w:r>
          </w:p>
        </w:tc>
        <w:tc>
          <w:tcPr>
            <w:tcW w:w="95" w:type="dxa"/>
            <w:tcBorders/>
            <w:shd w:fill="FFFFFF" w:val="clear"/>
            <w:vAlign w:val="center"/>
          </w:tcPr>
          <w:p>
            <w:pPr>
              <w:pStyle w:val="TableContents"/>
              <w:bidi w:val="0"/>
              <w:spacing w:before="0" w:after="283"/>
              <w:jc w:val="left"/>
              <w:rPr/>
            </w:pPr>
            <w:r>
              <w:rPr/>
              <w:t> </w:t>
            </w:r>
          </w:p>
        </w:tc>
      </w:tr>
      <w:tr>
        <w:trPr/>
        <w:tc>
          <w:tcPr>
            <w:tcW w:w="3275" w:type="dxa"/>
            <w:tcBorders/>
            <w:shd w:fill="CCEEFF" w:val="clear"/>
            <w:vAlign w:val="center"/>
          </w:tcPr>
          <w:p>
            <w:pPr>
              <w:pStyle w:val="TableContents"/>
              <w:bidi w:val="0"/>
              <w:spacing w:before="0" w:after="283"/>
              <w:jc w:val="left"/>
              <w:rPr>
                <w:rFonts w:ascii="Times New Roman;serif" w:hAnsi="Times New Roman;serif"/>
                <w:sz w:val="16"/>
              </w:rPr>
            </w:pPr>
            <w:r>
              <w:rPr>
                <w:rFonts w:ascii="Times New Roman;serif" w:hAnsi="Times New Roman;serif"/>
                <w:sz w:val="16"/>
              </w:rPr>
              <w:t>Loss on foreign exchange</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737" w:type="dxa"/>
            <w:tcBorders/>
            <w:shd w:fill="CCEEFF" w:val="clear"/>
            <w:vAlign w:val="center"/>
          </w:tcPr>
          <w:p>
            <w:pPr>
              <w:pStyle w:val="TableContents"/>
              <w:bidi w:val="0"/>
              <w:spacing w:before="0" w:after="283"/>
              <w:jc w:val="right"/>
              <w:rPr>
                <w:rFonts w:ascii="Times New Roman;serif" w:hAnsi="Times New Roman;serif"/>
                <w:sz w:val="16"/>
              </w:rPr>
            </w:pPr>
            <w:r>
              <w:rPr>
                <w:rFonts w:ascii="Times New Roman;serif" w:hAnsi="Times New Roman;serif"/>
                <w:sz w:val="16"/>
              </w:rPr>
              <w:t>(463</w:t>
            </w:r>
          </w:p>
        </w:tc>
        <w:tc>
          <w:tcPr>
            <w:tcW w:w="80" w:type="dxa"/>
            <w:tcBorders/>
            <w:shd w:fill="CCEEFF" w:val="clear"/>
            <w:vAlign w:val="center"/>
          </w:tcPr>
          <w:p>
            <w:pPr>
              <w:pStyle w:val="TableContents"/>
              <w:bidi w:val="0"/>
              <w:spacing w:before="0" w:after="283"/>
              <w:jc w:val="left"/>
              <w:rPr>
                <w:rFonts w:ascii="Times New Roman;serif" w:hAnsi="Times New Roman;serif"/>
                <w:sz w:val="16"/>
              </w:rPr>
            </w:pPr>
            <w:r>
              <w:rPr>
                <w:rFonts w:ascii="Times New Roman;serif" w:hAnsi="Times New Roman;serif"/>
                <w:sz w:val="16"/>
              </w:rPr>
              <w:t>)</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829" w:type="dxa"/>
            <w:tcBorders/>
            <w:shd w:fill="CCEEFF" w:val="clear"/>
            <w:vAlign w:val="center"/>
          </w:tcPr>
          <w:p>
            <w:pPr>
              <w:pStyle w:val="TableContents"/>
              <w:bidi w:val="0"/>
              <w:spacing w:before="0" w:after="283"/>
              <w:jc w:val="right"/>
              <w:rPr>
                <w:rFonts w:ascii="Times New Roman;serif" w:hAnsi="Times New Roman;serif"/>
                <w:sz w:val="16"/>
              </w:rPr>
            </w:pPr>
            <w:r>
              <w:rPr>
                <w:rFonts w:ascii="Times New Roman;serif" w:hAnsi="Times New Roman;serif"/>
                <w:sz w:val="16"/>
              </w:rPr>
              <w:t>(2,823</w:t>
            </w:r>
          </w:p>
        </w:tc>
        <w:tc>
          <w:tcPr>
            <w:tcW w:w="80" w:type="dxa"/>
            <w:tcBorders/>
            <w:shd w:fill="CCEEFF" w:val="clear"/>
            <w:vAlign w:val="center"/>
          </w:tcPr>
          <w:p>
            <w:pPr>
              <w:pStyle w:val="TableContents"/>
              <w:bidi w:val="0"/>
              <w:spacing w:before="0" w:after="283"/>
              <w:jc w:val="left"/>
              <w:rPr>
                <w:rFonts w:ascii="Times New Roman;serif" w:hAnsi="Times New Roman;serif"/>
                <w:sz w:val="16"/>
              </w:rPr>
            </w:pPr>
            <w:r>
              <w:rPr>
                <w:rFonts w:ascii="Times New Roman;serif" w:hAnsi="Times New Roman;serif"/>
                <w:sz w:val="16"/>
              </w:rPr>
              <w:t>)</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841"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88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rFonts w:ascii="Times New Roman;serif" w:hAnsi="Times New Roman;serif"/>
                <w:sz w:val="16"/>
              </w:rPr>
            </w:pPr>
            <w:r>
              <w:rPr>
                <w:rFonts w:ascii="Times New Roman;serif" w:hAnsi="Times New Roman;serif"/>
                <w:sz w:val="16"/>
              </w:rPr>
              <w:t>(3,286</w:t>
            </w:r>
          </w:p>
        </w:tc>
        <w:tc>
          <w:tcPr>
            <w:tcW w:w="95" w:type="dxa"/>
            <w:tcBorders/>
            <w:shd w:fill="CCEEFF" w:val="clear"/>
            <w:vAlign w:val="center"/>
          </w:tcPr>
          <w:p>
            <w:pPr>
              <w:pStyle w:val="TableContents"/>
              <w:bidi w:val="0"/>
              <w:spacing w:before="0" w:after="283"/>
              <w:jc w:val="left"/>
              <w:rPr>
                <w:rFonts w:ascii="Times New Roman;serif" w:hAnsi="Times New Roman;serif"/>
                <w:sz w:val="16"/>
              </w:rPr>
            </w:pPr>
            <w:r>
              <w:rPr>
                <w:rFonts w:ascii="Times New Roman;serif" w:hAnsi="Times New Roman;serif"/>
                <w:sz w:val="16"/>
              </w:rPr>
              <w:t>)</w:t>
            </w:r>
          </w:p>
        </w:tc>
      </w:tr>
      <w:tr>
        <w:trPr/>
        <w:tc>
          <w:tcPr>
            <w:tcW w:w="3275" w:type="dxa"/>
            <w:tcBorders/>
            <w:shd w:fill="FFFFFF" w:val="clear"/>
            <w:vAlign w:val="center"/>
          </w:tcPr>
          <w:p>
            <w:pPr>
              <w:pStyle w:val="TableContents"/>
              <w:bidi w:val="0"/>
              <w:spacing w:before="0" w:after="283"/>
              <w:jc w:val="left"/>
              <w:rPr>
                <w:rFonts w:ascii="Times New Roman;serif" w:hAnsi="Times New Roman;serif"/>
                <w:sz w:val="16"/>
              </w:rPr>
            </w:pPr>
            <w:r>
              <w:rPr>
                <w:rFonts w:ascii="Times New Roman;serif" w:hAnsi="Times New Roman;serif"/>
                <w:sz w:val="16"/>
              </w:rPr>
              <w:t>Other income, net</w:t>
            </w:r>
          </w:p>
        </w:tc>
        <w:tc>
          <w:tcPr>
            <w:tcW w:w="60" w:type="dxa"/>
            <w:tcBorders/>
            <w:shd w:fill="FFFFFF" w:val="clear"/>
            <w:vAlign w:val="center"/>
          </w:tcPr>
          <w:p>
            <w:pPr>
              <w:pStyle w:val="TableContents"/>
              <w:bidi w:val="0"/>
              <w:spacing w:before="0" w:after="283"/>
              <w:jc w:val="left"/>
              <w:rPr/>
            </w:pPr>
            <w:r>
              <w:rPr/>
              <w:t> </w:t>
            </w:r>
          </w:p>
        </w:tc>
        <w:tc>
          <w:tcPr>
            <w:tcW w:w="12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3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serif" w:hAnsi="Times New Roman;serif"/>
                <w:sz w:val="16"/>
              </w:rPr>
            </w:pPr>
            <w:r>
              <w:rPr>
                <w:rFonts w:ascii="Times New Roman;serif" w:hAnsi="Times New Roman;serif"/>
                <w:sz w:val="16"/>
              </w:rPr>
              <w:t>4,381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2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serif" w:hAnsi="Times New Roman;serif"/>
                <w:sz w:val="16"/>
              </w:rPr>
            </w:pPr>
            <w:r>
              <w:rPr>
                <w:rFonts w:ascii="Times New Roman;serif" w:hAnsi="Times New Roman;serif"/>
                <w:sz w:val="16"/>
              </w:rPr>
              <w:t>(2,915</w:t>
            </w:r>
          </w:p>
        </w:tc>
        <w:tc>
          <w:tcPr>
            <w:tcW w:w="80" w:type="dxa"/>
            <w:tcBorders/>
            <w:shd w:fill="FFFFFF" w:val="clear"/>
            <w:vAlign w:val="center"/>
          </w:tcPr>
          <w:p>
            <w:pPr>
              <w:pStyle w:val="TableContents"/>
              <w:bidi w:val="0"/>
              <w:spacing w:before="0" w:after="283"/>
              <w:jc w:val="left"/>
              <w:rPr>
                <w:rFonts w:ascii="Times New Roman;serif" w:hAnsi="Times New Roman;serif"/>
                <w:sz w:val="16"/>
              </w:rPr>
            </w:pPr>
            <w:r>
              <w:rPr>
                <w:rFonts w:ascii="Times New Roman;serif" w:hAnsi="Times New Roman;serif"/>
                <w:sz w:val="16"/>
              </w:rPr>
              <w:t>)</w:t>
            </w:r>
          </w:p>
        </w:tc>
        <w:tc>
          <w:tcPr>
            <w:tcW w:w="60" w:type="dxa"/>
            <w:tcBorders/>
            <w:shd w:fill="FFFFFF" w:val="clear"/>
            <w:vAlign w:val="center"/>
          </w:tcPr>
          <w:p>
            <w:pPr>
              <w:pStyle w:val="TableContents"/>
              <w:bidi w:val="0"/>
              <w:spacing w:before="0" w:after="283"/>
              <w:jc w:val="left"/>
              <w:rPr/>
            </w:pPr>
            <w:r>
              <w:rPr/>
              <w:t> </w:t>
            </w:r>
          </w:p>
        </w:tc>
        <w:tc>
          <w:tcPr>
            <w:tcW w:w="13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41"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4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serif" w:hAnsi="Times New Roman;serif"/>
                <w:sz w:val="16"/>
              </w:rPr>
            </w:pPr>
            <w:r>
              <w:rPr>
                <w:rFonts w:ascii="Times New Roman;serif" w:hAnsi="Times New Roman;serif"/>
                <w:sz w:val="16"/>
              </w:rPr>
              <w:t>1,466</w:t>
            </w:r>
          </w:p>
        </w:tc>
        <w:tc>
          <w:tcPr>
            <w:tcW w:w="95" w:type="dxa"/>
            <w:tcBorders/>
            <w:shd w:fill="FFFFFF" w:val="clear"/>
            <w:vAlign w:val="center"/>
          </w:tcPr>
          <w:p>
            <w:pPr>
              <w:pStyle w:val="TableContents"/>
              <w:bidi w:val="0"/>
              <w:spacing w:before="0" w:after="283"/>
              <w:jc w:val="left"/>
              <w:rPr/>
            </w:pPr>
            <w:r>
              <w:rPr/>
              <w:t> </w:t>
            </w:r>
          </w:p>
        </w:tc>
      </w:tr>
      <w:tr>
        <w:trPr/>
        <w:tc>
          <w:tcPr>
            <w:tcW w:w="3275" w:type="dxa"/>
            <w:tcBorders/>
            <w:shd w:fill="CCEEFF" w:val="clear"/>
            <w:vAlign w:val="center"/>
          </w:tcPr>
          <w:p>
            <w:pPr>
              <w:pStyle w:val="TableContents"/>
              <w:bidi w:val="0"/>
              <w:spacing w:before="0" w:after="283"/>
              <w:jc w:val="left"/>
              <w:rPr>
                <w:rFonts w:ascii="Times New Roman;serif" w:hAnsi="Times New Roman;serif"/>
                <w:sz w:val="16"/>
              </w:rPr>
            </w:pPr>
            <w:r>
              <w:rPr>
                <w:rFonts w:ascii="Times New Roman;serif" w:hAnsi="Times New Roman;serif"/>
                <w:sz w:val="16"/>
              </w:rPr>
              <w:t>Total other income (expense), net</w:t>
            </w:r>
          </w:p>
        </w:tc>
        <w:tc>
          <w:tcPr>
            <w:tcW w:w="60" w:type="dxa"/>
            <w:tcBorders/>
            <w:shd w:fill="CCEEFF" w:val="clear"/>
            <w:vAlign w:val="center"/>
          </w:tcPr>
          <w:p>
            <w:pPr>
              <w:pStyle w:val="TableContents"/>
              <w:bidi w:val="0"/>
              <w:spacing w:before="0" w:after="283"/>
              <w:jc w:val="left"/>
              <w:rPr/>
            </w:pPr>
            <w:r>
              <w:rPr/>
              <w:t> </w:t>
            </w:r>
          </w:p>
        </w:tc>
        <w:tc>
          <w:tcPr>
            <w:tcW w:w="12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3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serif" w:hAnsi="Times New Roman;serif"/>
                <w:sz w:val="16"/>
              </w:rPr>
            </w:pPr>
            <w:r>
              <w:rPr>
                <w:rFonts w:ascii="Times New Roman;serif" w:hAnsi="Times New Roman;serif"/>
                <w:sz w:val="16"/>
              </w:rPr>
              <w:t>2,941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2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serif" w:hAnsi="Times New Roman;serif"/>
                <w:sz w:val="16"/>
              </w:rPr>
            </w:pPr>
            <w:r>
              <w:rPr>
                <w:rFonts w:ascii="Times New Roman;serif" w:hAnsi="Times New Roman;serif"/>
                <w:sz w:val="16"/>
              </w:rPr>
              <w:t>(93,990</w:t>
            </w:r>
          </w:p>
        </w:tc>
        <w:tc>
          <w:tcPr>
            <w:tcW w:w="80" w:type="dxa"/>
            <w:tcBorders/>
            <w:shd w:fill="CCEEFF" w:val="clear"/>
            <w:vAlign w:val="center"/>
          </w:tcPr>
          <w:p>
            <w:pPr>
              <w:pStyle w:val="TableContents"/>
              <w:bidi w:val="0"/>
              <w:spacing w:before="0" w:after="283"/>
              <w:jc w:val="left"/>
              <w:rPr>
                <w:rFonts w:ascii="Times New Roman;serif" w:hAnsi="Times New Roman;serif"/>
                <w:sz w:val="16"/>
              </w:rPr>
            </w:pPr>
            <w:r>
              <w:rPr>
                <w:rFonts w:ascii="Times New Roman;serif" w:hAnsi="Times New Roman;serif"/>
                <w:sz w:val="16"/>
              </w:rPr>
              <w:t>)</w:t>
            </w:r>
          </w:p>
        </w:tc>
        <w:tc>
          <w:tcPr>
            <w:tcW w:w="60" w:type="dxa"/>
            <w:tcBorders/>
            <w:shd w:fill="CCEEFF" w:val="clear"/>
            <w:vAlign w:val="center"/>
          </w:tcPr>
          <w:p>
            <w:pPr>
              <w:pStyle w:val="TableContents"/>
              <w:bidi w:val="0"/>
              <w:spacing w:before="0" w:after="283"/>
              <w:jc w:val="left"/>
              <w:rPr/>
            </w:pPr>
            <w:r>
              <w:rPr/>
              <w:t> </w:t>
            </w:r>
          </w:p>
        </w:tc>
        <w:tc>
          <w:tcPr>
            <w:tcW w:w="13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4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serif" w:hAnsi="Times New Roman;serif"/>
                <w:sz w:val="16"/>
              </w:rPr>
            </w:pPr>
            <w:r>
              <w:rPr>
                <w:rFonts w:ascii="Times New Roman;serif" w:hAnsi="Times New Roman;serif"/>
                <w:sz w:val="16"/>
              </w:rPr>
              <w:t>93,529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serif" w:hAnsi="Times New Roman;serif"/>
                <w:sz w:val="16"/>
              </w:rPr>
            </w:pPr>
            <w:r>
              <w:rPr>
                <w:rFonts w:ascii="Times New Roman;serif" w:hAnsi="Times New Roman;serif"/>
                <w:sz w:val="16"/>
              </w:rPr>
              <w:t>(285,669</w:t>
            </w:r>
          </w:p>
        </w:tc>
        <w:tc>
          <w:tcPr>
            <w:tcW w:w="80" w:type="dxa"/>
            <w:tcBorders/>
            <w:shd w:fill="CCEEFF" w:val="clear"/>
            <w:vAlign w:val="center"/>
          </w:tcPr>
          <w:p>
            <w:pPr>
              <w:pStyle w:val="TableContents"/>
              <w:bidi w:val="0"/>
              <w:spacing w:before="0" w:after="283"/>
              <w:jc w:val="left"/>
              <w:rPr>
                <w:rFonts w:ascii="Times New Roman;serif" w:hAnsi="Times New Roman;serif"/>
                <w:sz w:val="16"/>
              </w:rPr>
            </w:pPr>
            <w:r>
              <w:rPr>
                <w:rFonts w:ascii="Times New Roman;serif" w:hAnsi="Times New Roman;serif"/>
                <w:sz w:val="16"/>
              </w:rPr>
              <w:t>)</w:t>
            </w:r>
          </w:p>
        </w:tc>
        <w:tc>
          <w:tcPr>
            <w:tcW w:w="6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4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serif" w:hAnsi="Times New Roman;serif"/>
                <w:sz w:val="16"/>
              </w:rPr>
            </w:pPr>
            <w:r>
              <w:rPr>
                <w:rFonts w:ascii="Times New Roman;serif" w:hAnsi="Times New Roman;serif"/>
                <w:sz w:val="16"/>
              </w:rPr>
              <w:t>(283,189</w:t>
            </w:r>
          </w:p>
        </w:tc>
        <w:tc>
          <w:tcPr>
            <w:tcW w:w="95" w:type="dxa"/>
            <w:tcBorders/>
            <w:shd w:fill="CCEEFF" w:val="clear"/>
            <w:vAlign w:val="center"/>
          </w:tcPr>
          <w:p>
            <w:pPr>
              <w:pStyle w:val="TableContents"/>
              <w:bidi w:val="0"/>
              <w:spacing w:before="0" w:after="283"/>
              <w:jc w:val="left"/>
              <w:rPr>
                <w:rFonts w:ascii="Times New Roman;serif" w:hAnsi="Times New Roman;serif"/>
                <w:sz w:val="16"/>
              </w:rPr>
            </w:pPr>
            <w:r>
              <w:rPr>
                <w:rFonts w:ascii="Times New Roman;serif" w:hAnsi="Times New Roman;serif"/>
                <w:sz w:val="16"/>
              </w:rPr>
              <w:t>)</w:t>
            </w:r>
          </w:p>
        </w:tc>
      </w:tr>
      <w:tr>
        <w:trPr/>
        <w:tc>
          <w:tcPr>
            <w:tcW w:w="3275" w:type="dxa"/>
            <w:tcBorders/>
            <w:shd w:fill="FFFFFF" w:val="clear"/>
            <w:vAlign w:val="center"/>
          </w:tcPr>
          <w:p>
            <w:pPr>
              <w:pStyle w:val="TableContents"/>
              <w:bidi w:val="0"/>
              <w:spacing w:before="0" w:after="283"/>
              <w:jc w:val="left"/>
              <w:rPr>
                <w:rFonts w:ascii="Times New Roman;serif" w:hAnsi="Times New Roman;serif"/>
                <w:sz w:val="16"/>
              </w:rPr>
            </w:pPr>
            <w:r>
              <w:rPr>
                <w:rFonts w:ascii="Times New Roman;serif" w:hAnsi="Times New Roman;serif"/>
                <w:sz w:val="16"/>
              </w:rPr>
              <w:t>Income (loss) before income taxes</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737" w:type="dxa"/>
            <w:tcBorders/>
            <w:shd w:fill="FFFFFF" w:val="clear"/>
            <w:vAlign w:val="center"/>
          </w:tcPr>
          <w:p>
            <w:pPr>
              <w:pStyle w:val="TableContents"/>
              <w:bidi w:val="0"/>
              <w:spacing w:before="0" w:after="283"/>
              <w:jc w:val="right"/>
              <w:rPr>
                <w:rFonts w:ascii="Times New Roman;serif" w:hAnsi="Times New Roman;serif"/>
                <w:sz w:val="16"/>
              </w:rPr>
            </w:pPr>
            <w:r>
              <w:rPr>
                <w:rFonts w:ascii="Times New Roman;serif" w:hAnsi="Times New Roman;serif"/>
                <w:sz w:val="16"/>
              </w:rPr>
              <w:t>(225,897</w:t>
            </w:r>
          </w:p>
        </w:tc>
        <w:tc>
          <w:tcPr>
            <w:tcW w:w="80" w:type="dxa"/>
            <w:tcBorders/>
            <w:shd w:fill="FFFFFF" w:val="clear"/>
            <w:vAlign w:val="center"/>
          </w:tcPr>
          <w:p>
            <w:pPr>
              <w:pStyle w:val="TableContents"/>
              <w:bidi w:val="0"/>
              <w:spacing w:before="0" w:after="283"/>
              <w:jc w:val="left"/>
              <w:rPr>
                <w:rFonts w:ascii="Times New Roman;serif" w:hAnsi="Times New Roman;serif"/>
                <w:sz w:val="16"/>
              </w:rPr>
            </w:pPr>
            <w:r>
              <w:rPr>
                <w:rFonts w:ascii="Times New Roman;serif" w:hAnsi="Times New Roman;serif"/>
                <w:sz w:val="16"/>
              </w:rPr>
              <w:t>)</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829" w:type="dxa"/>
            <w:tcBorders/>
            <w:shd w:fill="FFFFFF" w:val="clear"/>
            <w:vAlign w:val="center"/>
          </w:tcPr>
          <w:p>
            <w:pPr>
              <w:pStyle w:val="TableContents"/>
              <w:bidi w:val="0"/>
              <w:spacing w:before="0" w:after="283"/>
              <w:jc w:val="right"/>
              <w:rPr>
                <w:rFonts w:ascii="Times New Roman;serif" w:hAnsi="Times New Roman;serif"/>
                <w:sz w:val="16"/>
              </w:rPr>
            </w:pPr>
            <w:r>
              <w:rPr>
                <w:rFonts w:ascii="Times New Roman;serif" w:hAnsi="Times New Roman;serif"/>
                <w:sz w:val="16"/>
              </w:rPr>
              <w:t>141,990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serif" w:hAnsi="Times New Roman;serif"/>
                <w:sz w:val="16"/>
              </w:rPr>
            </w:pPr>
            <w:r>
              <w:rPr>
                <w:rFonts w:ascii="Times New Roman;serif" w:hAnsi="Times New Roman;serif"/>
                <w:sz w:val="16"/>
              </w:rPr>
              <w:t>(227,055</w:t>
            </w:r>
          </w:p>
        </w:tc>
        <w:tc>
          <w:tcPr>
            <w:tcW w:w="80" w:type="dxa"/>
            <w:tcBorders/>
            <w:shd w:fill="FFFFFF" w:val="clear"/>
            <w:vAlign w:val="center"/>
          </w:tcPr>
          <w:p>
            <w:pPr>
              <w:pStyle w:val="TableContents"/>
              <w:bidi w:val="0"/>
              <w:spacing w:before="0" w:after="283"/>
              <w:jc w:val="left"/>
              <w:rPr>
                <w:rFonts w:ascii="Times New Roman;serif" w:hAnsi="Times New Roman;serif"/>
                <w:sz w:val="16"/>
              </w:rPr>
            </w:pPr>
            <w:r>
              <w:rPr>
                <w:rFonts w:ascii="Times New Roman;serif" w:hAnsi="Times New Roman;serif"/>
                <w:sz w:val="16"/>
              </w:rPr>
              <w:t>)</w:t>
            </w:r>
          </w:p>
        </w:tc>
        <w:tc>
          <w:tcPr>
            <w:tcW w:w="60" w:type="dxa"/>
            <w:tcBorders/>
            <w:shd w:fill="FFFFFF" w:val="clear"/>
            <w:vAlign w:val="center"/>
          </w:tcPr>
          <w:p>
            <w:pPr>
              <w:pStyle w:val="TableContents"/>
              <w:bidi w:val="0"/>
              <w:spacing w:before="0" w:after="283"/>
              <w:jc w:val="left"/>
              <w:rPr/>
            </w:pPr>
            <w:r>
              <w:rPr/>
              <w:t> </w:t>
            </w:r>
          </w:p>
        </w:tc>
        <w:tc>
          <w:tcPr>
            <w:tcW w:w="62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880" w:type="dxa"/>
            <w:tcBorders/>
            <w:shd w:fill="FFFFFF" w:val="clear"/>
            <w:vAlign w:val="center"/>
          </w:tcPr>
          <w:p>
            <w:pPr>
              <w:pStyle w:val="TableContents"/>
              <w:bidi w:val="0"/>
              <w:spacing w:before="0" w:after="283"/>
              <w:jc w:val="right"/>
              <w:rPr>
                <w:rFonts w:ascii="Times New Roman;serif" w:hAnsi="Times New Roman;serif"/>
                <w:sz w:val="16"/>
              </w:rPr>
            </w:pPr>
            <w:r>
              <w:rPr>
                <w:rFonts w:ascii="Times New Roman;serif" w:hAnsi="Times New Roman;serif"/>
                <w:sz w:val="16"/>
              </w:rPr>
              <w:t>(285,669</w:t>
            </w:r>
          </w:p>
        </w:tc>
        <w:tc>
          <w:tcPr>
            <w:tcW w:w="80" w:type="dxa"/>
            <w:tcBorders/>
            <w:shd w:fill="FFFFFF" w:val="clear"/>
            <w:vAlign w:val="center"/>
          </w:tcPr>
          <w:p>
            <w:pPr>
              <w:pStyle w:val="TableContents"/>
              <w:bidi w:val="0"/>
              <w:spacing w:before="0" w:after="283"/>
              <w:jc w:val="left"/>
              <w:rPr>
                <w:rFonts w:ascii="Times New Roman;serif" w:hAnsi="Times New Roman;serif"/>
                <w:sz w:val="16"/>
              </w:rPr>
            </w:pPr>
            <w:r>
              <w:rPr>
                <w:rFonts w:ascii="Times New Roman;serif" w:hAnsi="Times New Roman;serif"/>
                <w:sz w:val="16"/>
              </w:rPr>
              <w:t>)</w:t>
            </w:r>
          </w:p>
        </w:tc>
        <w:tc>
          <w:tcPr>
            <w:tcW w:w="60" w:type="dxa"/>
            <w:tcBorders/>
            <w:shd w:fill="FFFFFF" w:val="clear"/>
            <w:vAlign w:val="center"/>
          </w:tcPr>
          <w:p>
            <w:pPr>
              <w:pStyle w:val="TableContents"/>
              <w:bidi w:val="0"/>
              <w:spacing w:before="0" w:after="283"/>
              <w:jc w:val="left"/>
              <w:rPr/>
            </w:pPr>
            <w:r>
              <w:rPr/>
              <w:t> </w:t>
            </w:r>
          </w:p>
        </w:tc>
        <w:tc>
          <w:tcPr>
            <w:tcW w:w="62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rFonts w:ascii="Times New Roman;serif" w:hAnsi="Times New Roman;serif"/>
                <w:sz w:val="16"/>
              </w:rPr>
            </w:pPr>
            <w:r>
              <w:rPr>
                <w:rFonts w:ascii="Times New Roman;serif" w:hAnsi="Times New Roman;serif"/>
                <w:sz w:val="16"/>
              </w:rPr>
              <w:t>(596,631</w:t>
            </w:r>
          </w:p>
        </w:tc>
        <w:tc>
          <w:tcPr>
            <w:tcW w:w="95" w:type="dxa"/>
            <w:tcBorders/>
            <w:shd w:fill="FFFFFF" w:val="clear"/>
            <w:vAlign w:val="center"/>
          </w:tcPr>
          <w:p>
            <w:pPr>
              <w:pStyle w:val="TableContents"/>
              <w:bidi w:val="0"/>
              <w:spacing w:before="0" w:after="283"/>
              <w:jc w:val="left"/>
              <w:rPr>
                <w:rFonts w:ascii="Times New Roman;serif" w:hAnsi="Times New Roman;serif"/>
                <w:sz w:val="16"/>
              </w:rPr>
            </w:pPr>
            <w:r>
              <w:rPr>
                <w:rFonts w:ascii="Times New Roman;serif" w:hAnsi="Times New Roman;serif"/>
                <w:sz w:val="16"/>
              </w:rPr>
              <w:t>)</w:t>
            </w:r>
          </w:p>
        </w:tc>
      </w:tr>
      <w:tr>
        <w:trPr/>
        <w:tc>
          <w:tcPr>
            <w:tcW w:w="3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73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82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84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88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3275" w:type="dxa"/>
            <w:tcBorders/>
            <w:shd w:fill="FFFFFF" w:val="clear"/>
            <w:vAlign w:val="center"/>
          </w:tcPr>
          <w:p>
            <w:pPr>
              <w:pStyle w:val="TableContents"/>
              <w:bidi w:val="0"/>
              <w:spacing w:before="0" w:after="283"/>
              <w:jc w:val="left"/>
              <w:rPr>
                <w:rFonts w:ascii="Times New Roman;serif" w:hAnsi="Times New Roman;serif"/>
                <w:sz w:val="16"/>
              </w:rPr>
            </w:pPr>
            <w:r>
              <w:rPr>
                <w:rFonts w:ascii="Times New Roman;serif" w:hAnsi="Times New Roman;serif"/>
                <w:sz w:val="16"/>
              </w:rPr>
              <w:t>Benefit (provision) for income taxes</w:t>
            </w:r>
          </w:p>
        </w:tc>
        <w:tc>
          <w:tcPr>
            <w:tcW w:w="60" w:type="dxa"/>
            <w:tcBorders/>
            <w:shd w:fill="FFFFFF" w:val="clear"/>
            <w:vAlign w:val="center"/>
          </w:tcPr>
          <w:p>
            <w:pPr>
              <w:pStyle w:val="TableContents"/>
              <w:bidi w:val="0"/>
              <w:spacing w:before="0" w:after="283"/>
              <w:jc w:val="left"/>
              <w:rPr/>
            </w:pPr>
            <w:r>
              <w:rPr/>
              <w:t> </w:t>
            </w:r>
          </w:p>
        </w:tc>
        <w:tc>
          <w:tcPr>
            <w:tcW w:w="12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3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serif" w:hAnsi="Times New Roman;serif"/>
                <w:sz w:val="16"/>
              </w:rPr>
            </w:pPr>
            <w:r>
              <w:rPr>
                <w:rFonts w:ascii="Times New Roman;serif" w:hAnsi="Times New Roman;serif"/>
                <w:sz w:val="16"/>
              </w:rPr>
              <w:t>27,688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2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serif" w:hAnsi="Times New Roman;serif"/>
                <w:sz w:val="16"/>
              </w:rPr>
            </w:pPr>
            <w:r>
              <w:rPr>
                <w:rFonts w:ascii="Times New Roman;serif" w:hAnsi="Times New Roman;serif"/>
                <w:sz w:val="16"/>
              </w:rPr>
              <w:t>(27,618</w:t>
            </w:r>
          </w:p>
        </w:tc>
        <w:tc>
          <w:tcPr>
            <w:tcW w:w="80" w:type="dxa"/>
            <w:tcBorders/>
            <w:shd w:fill="FFFFFF" w:val="clear"/>
            <w:vAlign w:val="center"/>
          </w:tcPr>
          <w:p>
            <w:pPr>
              <w:pStyle w:val="TableContents"/>
              <w:bidi w:val="0"/>
              <w:spacing w:before="0" w:after="283"/>
              <w:jc w:val="left"/>
              <w:rPr>
                <w:rFonts w:ascii="Times New Roman;serif" w:hAnsi="Times New Roman;serif"/>
                <w:sz w:val="16"/>
              </w:rPr>
            </w:pPr>
            <w:r>
              <w:rPr>
                <w:rFonts w:ascii="Times New Roman;serif" w:hAnsi="Times New Roman;serif"/>
                <w:sz w:val="16"/>
              </w:rPr>
              <w:t>)</w:t>
            </w:r>
          </w:p>
        </w:tc>
        <w:tc>
          <w:tcPr>
            <w:tcW w:w="60" w:type="dxa"/>
            <w:tcBorders/>
            <w:shd w:fill="FFFFFF" w:val="clear"/>
            <w:vAlign w:val="center"/>
          </w:tcPr>
          <w:p>
            <w:pPr>
              <w:pStyle w:val="TableContents"/>
              <w:bidi w:val="0"/>
              <w:spacing w:before="0" w:after="283"/>
              <w:jc w:val="left"/>
              <w:rPr/>
            </w:pPr>
            <w:r>
              <w:rPr/>
              <w:t> </w:t>
            </w:r>
          </w:p>
        </w:tc>
        <w:tc>
          <w:tcPr>
            <w:tcW w:w="13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4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serif" w:hAnsi="Times New Roman;serif"/>
                <w:sz w:val="16"/>
              </w:rPr>
            </w:pPr>
            <w:r>
              <w:rPr>
                <w:rFonts w:ascii="Times New Roman;serif" w:hAnsi="Times New Roman;serif"/>
                <w:sz w:val="16"/>
              </w:rPr>
              <w:t>327,134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0" w:type="dxa"/>
            <w:tcBorders/>
            <w:shd w:fill="FFFFFF" w:val="clear"/>
            <w:vAlign w:val="center"/>
          </w:tcPr>
          <w:p>
            <w:pPr>
              <w:pStyle w:val="TableContents"/>
              <w:bidi w:val="0"/>
              <w:spacing w:before="0" w:after="283"/>
              <w:jc w:val="center"/>
              <w:rPr>
                <w:rFonts w:ascii="Times New Roman;serif" w:hAnsi="Times New Roman;serif"/>
                <w:sz w:val="16"/>
              </w:rPr>
            </w:pPr>
            <w:r>
              <w:rPr>
                <w:rFonts w:ascii="Times New Roman;serif" w:hAnsi="Times New Roman;serif"/>
                <w:sz w:val="16"/>
              </w:rPr>
              <w:t>(m)</w:t>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serif" w:hAnsi="Times New Roman;serif"/>
                <w:sz w:val="16"/>
              </w:rPr>
            </w:pPr>
            <w:r>
              <w:rPr>
                <w:rFonts w:ascii="Times New Roman;serif" w:hAnsi="Times New Roman;serif"/>
                <w:sz w:val="16"/>
              </w:rPr>
              <w:t>66,389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0" w:type="dxa"/>
            <w:tcBorders/>
            <w:shd w:fill="FFFFFF" w:val="clear"/>
            <w:vAlign w:val="center"/>
          </w:tcPr>
          <w:p>
            <w:pPr>
              <w:pStyle w:val="TableContents"/>
              <w:bidi w:val="0"/>
              <w:spacing w:before="0" w:after="283"/>
              <w:jc w:val="center"/>
              <w:rPr>
                <w:rFonts w:ascii="Times New Roman;serif" w:hAnsi="Times New Roman;serif"/>
                <w:sz w:val="16"/>
              </w:rPr>
            </w:pPr>
            <w:r>
              <w:rPr>
                <w:rFonts w:ascii="Times New Roman;serif" w:hAnsi="Times New Roman;serif"/>
                <w:sz w:val="16"/>
              </w:rPr>
              <w:t>(c)</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4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serif" w:hAnsi="Times New Roman;serif"/>
                <w:sz w:val="16"/>
              </w:rPr>
            </w:pPr>
            <w:r>
              <w:rPr>
                <w:rFonts w:ascii="Times New Roman;serif" w:hAnsi="Times New Roman;serif"/>
                <w:sz w:val="16"/>
              </w:rPr>
              <w:t>393,593</w:t>
            </w:r>
          </w:p>
        </w:tc>
        <w:tc>
          <w:tcPr>
            <w:tcW w:w="95" w:type="dxa"/>
            <w:tcBorders/>
            <w:shd w:fill="FFFFFF" w:val="clear"/>
            <w:vAlign w:val="center"/>
          </w:tcPr>
          <w:p>
            <w:pPr>
              <w:pStyle w:val="TableContents"/>
              <w:bidi w:val="0"/>
              <w:spacing w:before="0" w:after="283"/>
              <w:jc w:val="left"/>
              <w:rPr/>
            </w:pPr>
            <w:r>
              <w:rPr/>
              <w:t> </w:t>
            </w:r>
          </w:p>
        </w:tc>
      </w:tr>
      <w:tr>
        <w:trPr/>
        <w:tc>
          <w:tcPr>
            <w:tcW w:w="3275" w:type="dxa"/>
            <w:tcBorders/>
            <w:shd w:fill="CCEEFF" w:val="clear"/>
            <w:vAlign w:val="center"/>
          </w:tcPr>
          <w:p>
            <w:pPr>
              <w:pStyle w:val="TableContents"/>
              <w:bidi w:val="0"/>
              <w:spacing w:before="0" w:after="283"/>
              <w:jc w:val="left"/>
              <w:rPr>
                <w:rFonts w:ascii="Times New Roman;serif" w:hAnsi="Times New Roman;serif"/>
                <w:sz w:val="16"/>
              </w:rPr>
            </w:pPr>
            <w:r>
              <w:rPr>
                <w:rFonts w:ascii="Times New Roman;serif" w:hAnsi="Times New Roman;serif"/>
                <w:sz w:val="16"/>
              </w:rPr>
              <w:t>Net income (loss)</w:t>
            </w:r>
          </w:p>
        </w:tc>
        <w:tc>
          <w:tcPr>
            <w:tcW w:w="60" w:type="dxa"/>
            <w:tcBorders/>
            <w:shd w:fill="CCEEFF" w:val="clear"/>
            <w:vAlign w:val="center"/>
          </w:tcPr>
          <w:p>
            <w:pPr>
              <w:pStyle w:val="TableContents"/>
              <w:bidi w:val="0"/>
              <w:spacing w:before="0" w:after="283"/>
              <w:jc w:val="left"/>
              <w:rPr/>
            </w:pPr>
            <w:r>
              <w:rPr/>
              <w:t> </w:t>
            </w:r>
          </w:p>
        </w:tc>
        <w:tc>
          <w:tcPr>
            <w:tcW w:w="122"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serif" w:hAnsi="Times New Roman;serif"/>
                <w:sz w:val="16"/>
              </w:rPr>
            </w:pPr>
            <w:r>
              <w:rPr>
                <w:rFonts w:ascii="Times New Roman;serif" w:hAnsi="Times New Roman;serif"/>
                <w:sz w:val="16"/>
              </w:rPr>
              <w:t>$</w:t>
            </w:r>
          </w:p>
        </w:tc>
        <w:tc>
          <w:tcPr>
            <w:tcW w:w="73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serif" w:hAnsi="Times New Roman;serif"/>
                <w:sz w:val="16"/>
              </w:rPr>
            </w:pPr>
            <w:r>
              <w:rPr>
                <w:rFonts w:ascii="Times New Roman;serif" w:hAnsi="Times New Roman;serif"/>
                <w:sz w:val="16"/>
              </w:rPr>
              <w:t>(198,209</w:t>
            </w:r>
          </w:p>
        </w:tc>
        <w:tc>
          <w:tcPr>
            <w:tcW w:w="80" w:type="dxa"/>
            <w:tcBorders/>
            <w:shd w:fill="CCEEFF" w:val="clear"/>
            <w:vAlign w:val="center"/>
          </w:tcPr>
          <w:p>
            <w:pPr>
              <w:pStyle w:val="TableContents"/>
              <w:bidi w:val="0"/>
              <w:spacing w:before="0" w:after="283"/>
              <w:jc w:val="left"/>
              <w:rPr>
                <w:rFonts w:ascii="Times New Roman;serif" w:hAnsi="Times New Roman;serif"/>
                <w:sz w:val="16"/>
              </w:rPr>
            </w:pPr>
            <w:r>
              <w:rPr>
                <w:rFonts w:ascii="Times New Roman;serif" w:hAnsi="Times New Roman;serif"/>
                <w:sz w:val="16"/>
              </w:rPr>
              <w:t>)</w:t>
            </w:r>
          </w:p>
        </w:tc>
        <w:tc>
          <w:tcPr>
            <w:tcW w:w="60" w:type="dxa"/>
            <w:tcBorders/>
            <w:shd w:fill="CCEEFF" w:val="clear"/>
            <w:vAlign w:val="center"/>
          </w:tcPr>
          <w:p>
            <w:pPr>
              <w:pStyle w:val="TableContents"/>
              <w:bidi w:val="0"/>
              <w:spacing w:before="0" w:after="283"/>
              <w:jc w:val="left"/>
              <w:rPr/>
            </w:pPr>
            <w:r>
              <w:rPr/>
              <w:t> </w:t>
            </w:r>
          </w:p>
        </w:tc>
        <w:tc>
          <w:tcPr>
            <w:tcW w:w="15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serif" w:hAnsi="Times New Roman;serif"/>
                <w:sz w:val="16"/>
              </w:rPr>
            </w:pPr>
            <w:r>
              <w:rPr>
                <w:rFonts w:ascii="Times New Roman;serif" w:hAnsi="Times New Roman;serif"/>
                <w:sz w:val="16"/>
              </w:rPr>
              <w:t>$</w:t>
            </w:r>
          </w:p>
        </w:tc>
        <w:tc>
          <w:tcPr>
            <w:tcW w:w="82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serif" w:hAnsi="Times New Roman;serif"/>
                <w:sz w:val="16"/>
              </w:rPr>
            </w:pPr>
            <w:r>
              <w:rPr>
                <w:rFonts w:ascii="Times New Roman;serif" w:hAnsi="Times New Roman;serif"/>
                <w:sz w:val="16"/>
              </w:rPr>
              <w:t>114,372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serif" w:hAnsi="Times New Roman;serif"/>
                <w:sz w:val="16"/>
              </w:rPr>
            </w:pPr>
            <w:r>
              <w:rPr>
                <w:rFonts w:ascii="Times New Roman;serif" w:hAnsi="Times New Roman;serif"/>
                <w:sz w:val="16"/>
              </w:rPr>
              <w:t>$</w:t>
            </w:r>
          </w:p>
        </w:tc>
        <w:tc>
          <w:tcPr>
            <w:tcW w:w="84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serif" w:hAnsi="Times New Roman;serif"/>
                <w:sz w:val="16"/>
              </w:rPr>
            </w:pPr>
            <w:r>
              <w:rPr>
                <w:rFonts w:ascii="Times New Roman;serif" w:hAnsi="Times New Roman;serif"/>
                <w:sz w:val="16"/>
              </w:rPr>
              <w:t>100,079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serif" w:hAnsi="Times New Roman;serif"/>
                <w:sz w:val="16"/>
              </w:rPr>
            </w:pPr>
            <w:r>
              <w:rPr>
                <w:rFonts w:ascii="Times New Roman;serif" w:hAnsi="Times New Roman;serif"/>
                <w:sz w:val="16"/>
              </w:rPr>
              <w:t>$</w:t>
            </w:r>
          </w:p>
        </w:tc>
        <w:tc>
          <w:tcPr>
            <w:tcW w:w="8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serif" w:hAnsi="Times New Roman;serif"/>
                <w:sz w:val="16"/>
              </w:rPr>
            </w:pPr>
            <w:r>
              <w:rPr>
                <w:rFonts w:ascii="Times New Roman;serif" w:hAnsi="Times New Roman;serif"/>
                <w:sz w:val="16"/>
              </w:rPr>
              <w:t>(219,280</w:t>
            </w:r>
          </w:p>
        </w:tc>
        <w:tc>
          <w:tcPr>
            <w:tcW w:w="80" w:type="dxa"/>
            <w:tcBorders/>
            <w:shd w:fill="CCEEFF" w:val="clear"/>
            <w:vAlign w:val="center"/>
          </w:tcPr>
          <w:p>
            <w:pPr>
              <w:pStyle w:val="TableContents"/>
              <w:bidi w:val="0"/>
              <w:spacing w:before="0" w:after="283"/>
              <w:jc w:val="left"/>
              <w:rPr>
                <w:rFonts w:ascii="Times New Roman;serif" w:hAnsi="Times New Roman;serif"/>
                <w:sz w:val="16"/>
              </w:rPr>
            </w:pPr>
            <w:r>
              <w:rPr>
                <w:rFonts w:ascii="Times New Roman;serif" w:hAnsi="Times New Roman;serif"/>
                <w:sz w:val="16"/>
              </w:rPr>
              <w:t>)</w:t>
            </w:r>
          </w:p>
        </w:tc>
        <w:tc>
          <w:tcPr>
            <w:tcW w:w="6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serif" w:hAnsi="Times New Roman;serif"/>
                <w:sz w:val="16"/>
              </w:rPr>
            </w:pPr>
            <w:r>
              <w:rPr>
                <w:rFonts w:ascii="Times New Roman;serif" w:hAnsi="Times New Roman;serif"/>
                <w:sz w:val="16"/>
              </w:rPr>
              <w:t>$</w:t>
            </w:r>
          </w:p>
        </w:tc>
        <w:tc>
          <w:tcPr>
            <w:tcW w:w="74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serif" w:hAnsi="Times New Roman;serif"/>
                <w:sz w:val="16"/>
              </w:rPr>
            </w:pPr>
            <w:r>
              <w:rPr>
                <w:rFonts w:ascii="Times New Roman;serif" w:hAnsi="Times New Roman;serif"/>
                <w:sz w:val="16"/>
              </w:rPr>
              <w:t>(203,038</w:t>
            </w:r>
          </w:p>
        </w:tc>
        <w:tc>
          <w:tcPr>
            <w:tcW w:w="95" w:type="dxa"/>
            <w:tcBorders/>
            <w:shd w:fill="CCEEFF" w:val="clear"/>
            <w:vAlign w:val="center"/>
          </w:tcPr>
          <w:p>
            <w:pPr>
              <w:pStyle w:val="TableContents"/>
              <w:bidi w:val="0"/>
              <w:spacing w:before="0" w:after="283"/>
              <w:jc w:val="left"/>
              <w:rPr>
                <w:rFonts w:ascii="Times New Roman;serif" w:hAnsi="Times New Roman;serif"/>
                <w:sz w:val="16"/>
              </w:rPr>
            </w:pPr>
            <w:r>
              <w:rPr>
                <w:rFonts w:ascii="Times New Roman;serif" w:hAnsi="Times New Roman;serif"/>
                <w:sz w:val="16"/>
              </w:rPr>
              <w:t>)</w:t>
            </w:r>
          </w:p>
        </w:tc>
      </w:tr>
      <w:tr>
        <w:trPr/>
        <w:tc>
          <w:tcPr>
            <w:tcW w:w="3275" w:type="dxa"/>
            <w:tcBorders/>
            <w:shd w:fill="FFFFFF" w:val="clear"/>
            <w:vAlign w:val="center"/>
          </w:tcPr>
          <w:p>
            <w:pPr>
              <w:pStyle w:val="TableContents"/>
              <w:bidi w:val="0"/>
              <w:spacing w:before="0" w:after="283"/>
              <w:jc w:val="left"/>
              <w:rPr>
                <w:rFonts w:ascii="Times New Roman;serif" w:hAnsi="Times New Roman;serif"/>
                <w:sz w:val="16"/>
              </w:rPr>
            </w:pPr>
            <w:r>
              <w:rPr>
                <w:rFonts w:ascii="Times New Roman;serif" w:hAnsi="Times New Roman;serif"/>
                <w:sz w:val="16"/>
              </w:rPr>
              <w:t>Weighted-average common shares outstanding</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73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82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88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(Note 7) </w:t>
            </w:r>
          </w:p>
        </w:tc>
        <w:tc>
          <w:tcPr>
            <w:tcW w:w="95" w:type="dxa"/>
            <w:tcBorders/>
            <w:shd w:fill="FFFFFF" w:val="clear"/>
            <w:vAlign w:val="center"/>
          </w:tcPr>
          <w:p>
            <w:pPr>
              <w:pStyle w:val="TableContents"/>
              <w:bidi w:val="0"/>
              <w:spacing w:before="0" w:after="283"/>
              <w:jc w:val="left"/>
              <w:rPr/>
            </w:pPr>
            <w:r>
              <w:rPr/>
              <w:t> </w:t>
            </w:r>
          </w:p>
        </w:tc>
      </w:tr>
      <w:tr>
        <w:trPr/>
        <w:tc>
          <w:tcPr>
            <w:tcW w:w="3275" w:type="dxa"/>
            <w:tcBorders/>
            <w:shd w:fill="CCEEFF" w:val="clear"/>
            <w:vAlign w:val="center"/>
          </w:tcPr>
          <w:p>
            <w:pPr>
              <w:pStyle w:val="TableContents"/>
              <w:bidi w:val="0"/>
              <w:spacing w:before="0" w:after="283"/>
              <w:jc w:val="left"/>
              <w:rPr>
                <w:rFonts w:ascii="Times New Roman;serif" w:hAnsi="Times New Roman;serif"/>
                <w:sz w:val="16"/>
              </w:rPr>
            </w:pPr>
            <w:r>
              <w:rPr>
                <w:rFonts w:ascii="Times New Roman;serif" w:hAnsi="Times New Roman;serif"/>
                <w:sz w:val="16"/>
              </w:rPr>
              <w:t>Basic</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737" w:type="dxa"/>
            <w:tcBorders/>
            <w:shd w:fill="CCEEFF" w:val="clear"/>
            <w:vAlign w:val="center"/>
          </w:tcPr>
          <w:p>
            <w:pPr>
              <w:pStyle w:val="TableContents"/>
              <w:bidi w:val="0"/>
              <w:spacing w:before="0" w:after="283"/>
              <w:jc w:val="right"/>
              <w:rPr>
                <w:rFonts w:ascii="Times New Roman;serif" w:hAnsi="Times New Roman;serif"/>
                <w:sz w:val="16"/>
              </w:rPr>
            </w:pPr>
            <w:r>
              <w:rPr>
                <w:rFonts w:ascii="Times New Roman;serif" w:hAnsi="Times New Roman;serif"/>
                <w:sz w:val="16"/>
              </w:rPr>
              <w:t>530,665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829" w:type="dxa"/>
            <w:tcBorders/>
            <w:shd w:fill="CCEEFF" w:val="clear"/>
            <w:vAlign w:val="center"/>
          </w:tcPr>
          <w:p>
            <w:pPr>
              <w:pStyle w:val="TableContents"/>
              <w:bidi w:val="0"/>
              <w:spacing w:before="0" w:after="283"/>
              <w:jc w:val="right"/>
              <w:rPr>
                <w:rFonts w:ascii="Times New Roman;serif" w:hAnsi="Times New Roman;serif"/>
                <w:sz w:val="16"/>
              </w:rPr>
            </w:pPr>
            <w:r>
              <w:rPr>
                <w:rFonts w:ascii="Times New Roman;serif" w:hAnsi="Times New Roman;serif"/>
                <w:sz w:val="16"/>
              </w:rPr>
              <w:t>107,240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84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88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rFonts w:ascii="Times New Roman;serif" w:hAnsi="Times New Roman;serif"/>
                <w:sz w:val="16"/>
              </w:rPr>
            </w:pPr>
            <w:r>
              <w:rPr>
                <w:rFonts w:ascii="Times New Roman;serif" w:hAnsi="Times New Roman;serif"/>
                <w:sz w:val="16"/>
              </w:rPr>
              <w:t>571,596</w:t>
            </w:r>
          </w:p>
        </w:tc>
        <w:tc>
          <w:tcPr>
            <w:tcW w:w="95" w:type="dxa"/>
            <w:tcBorders/>
            <w:shd w:fill="CCEEFF" w:val="clear"/>
            <w:vAlign w:val="center"/>
          </w:tcPr>
          <w:p>
            <w:pPr>
              <w:pStyle w:val="TableContents"/>
              <w:bidi w:val="0"/>
              <w:spacing w:before="0" w:after="283"/>
              <w:jc w:val="left"/>
              <w:rPr/>
            </w:pPr>
            <w:r>
              <w:rPr/>
              <w:t> </w:t>
            </w:r>
          </w:p>
        </w:tc>
      </w:tr>
      <w:tr>
        <w:trPr/>
        <w:tc>
          <w:tcPr>
            <w:tcW w:w="3275" w:type="dxa"/>
            <w:tcBorders/>
            <w:shd w:fill="FFFFFF" w:val="clear"/>
            <w:vAlign w:val="center"/>
          </w:tcPr>
          <w:p>
            <w:pPr>
              <w:pStyle w:val="TableContents"/>
              <w:bidi w:val="0"/>
              <w:spacing w:before="0" w:after="283"/>
              <w:jc w:val="left"/>
              <w:rPr>
                <w:rFonts w:ascii="Times New Roman;serif" w:hAnsi="Times New Roman;serif"/>
                <w:sz w:val="16"/>
              </w:rPr>
            </w:pPr>
            <w:r>
              <w:rPr>
                <w:rFonts w:ascii="Times New Roman;serif" w:hAnsi="Times New Roman;serif"/>
                <w:sz w:val="16"/>
              </w:rPr>
              <w:t>Diluted</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737" w:type="dxa"/>
            <w:tcBorders/>
            <w:shd w:fill="FFFFFF" w:val="clear"/>
            <w:vAlign w:val="center"/>
          </w:tcPr>
          <w:p>
            <w:pPr>
              <w:pStyle w:val="TableContents"/>
              <w:bidi w:val="0"/>
              <w:spacing w:before="0" w:after="283"/>
              <w:jc w:val="right"/>
              <w:rPr>
                <w:rFonts w:ascii="Times New Roman;serif" w:hAnsi="Times New Roman;serif"/>
                <w:sz w:val="16"/>
              </w:rPr>
            </w:pPr>
            <w:r>
              <w:rPr>
                <w:rFonts w:ascii="Times New Roman;serif" w:hAnsi="Times New Roman;serif"/>
                <w:sz w:val="16"/>
              </w:rPr>
              <w:t>530,665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829" w:type="dxa"/>
            <w:tcBorders/>
            <w:shd w:fill="FFFFFF" w:val="clear"/>
            <w:vAlign w:val="center"/>
          </w:tcPr>
          <w:p>
            <w:pPr>
              <w:pStyle w:val="TableContents"/>
              <w:bidi w:val="0"/>
              <w:spacing w:before="0" w:after="283"/>
              <w:jc w:val="right"/>
              <w:rPr>
                <w:rFonts w:ascii="Times New Roman;serif" w:hAnsi="Times New Roman;serif"/>
                <w:sz w:val="16"/>
              </w:rPr>
            </w:pPr>
            <w:r>
              <w:rPr>
                <w:rFonts w:ascii="Times New Roman;serif" w:hAnsi="Times New Roman;serif"/>
                <w:sz w:val="16"/>
              </w:rPr>
              <w:t>107,837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88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rFonts w:ascii="Times New Roman;serif" w:hAnsi="Times New Roman;serif"/>
                <w:sz w:val="16"/>
              </w:rPr>
            </w:pPr>
            <w:r>
              <w:rPr>
                <w:rFonts w:ascii="Times New Roman;serif" w:hAnsi="Times New Roman;serif"/>
                <w:sz w:val="16"/>
              </w:rPr>
              <w:t>571,596</w:t>
            </w:r>
          </w:p>
        </w:tc>
        <w:tc>
          <w:tcPr>
            <w:tcW w:w="95" w:type="dxa"/>
            <w:tcBorders/>
            <w:shd w:fill="FFFFFF" w:val="clear"/>
            <w:vAlign w:val="center"/>
          </w:tcPr>
          <w:p>
            <w:pPr>
              <w:pStyle w:val="TableContents"/>
              <w:bidi w:val="0"/>
              <w:spacing w:before="0" w:after="283"/>
              <w:jc w:val="left"/>
              <w:rPr/>
            </w:pPr>
            <w:r>
              <w:rPr/>
              <w:t> </w:t>
            </w:r>
          </w:p>
        </w:tc>
      </w:tr>
      <w:tr>
        <w:trPr/>
        <w:tc>
          <w:tcPr>
            <w:tcW w:w="3275" w:type="dxa"/>
            <w:tcBorders/>
            <w:shd w:fill="CCEEFF" w:val="clear"/>
            <w:vAlign w:val="center"/>
          </w:tcPr>
          <w:p>
            <w:pPr>
              <w:pStyle w:val="TableContents"/>
              <w:bidi w:val="0"/>
              <w:spacing w:before="0" w:after="283"/>
              <w:jc w:val="left"/>
              <w:rPr>
                <w:rFonts w:ascii="Times New Roman;serif" w:hAnsi="Times New Roman;serif"/>
                <w:sz w:val="16"/>
              </w:rPr>
            </w:pPr>
            <w:r>
              <w:rPr>
                <w:rFonts w:ascii="Times New Roman;serif" w:hAnsi="Times New Roman;serif"/>
                <w:sz w:val="16"/>
              </w:rPr>
              <w:t>Net income (loss) per common share</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73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82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84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88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3275" w:type="dxa"/>
            <w:tcBorders/>
            <w:shd w:fill="FFFFFF" w:val="clear"/>
            <w:vAlign w:val="center"/>
          </w:tcPr>
          <w:p>
            <w:pPr>
              <w:pStyle w:val="TableContents"/>
              <w:bidi w:val="0"/>
              <w:spacing w:before="0" w:after="283"/>
              <w:jc w:val="left"/>
              <w:rPr>
                <w:rFonts w:ascii="Times New Roman;serif" w:hAnsi="Times New Roman;serif"/>
                <w:sz w:val="16"/>
              </w:rPr>
            </w:pPr>
            <w:r>
              <w:rPr>
                <w:rFonts w:ascii="Times New Roman;serif" w:hAnsi="Times New Roman;serif"/>
                <w:sz w:val="16"/>
              </w:rPr>
              <w:t>Basic net income (loss) per share</w:t>
            </w:r>
          </w:p>
        </w:tc>
        <w:tc>
          <w:tcPr>
            <w:tcW w:w="60" w:type="dxa"/>
            <w:tcBorders/>
            <w:shd w:fill="FFFFFF" w:val="clear"/>
            <w:vAlign w:val="center"/>
          </w:tcPr>
          <w:p>
            <w:pPr>
              <w:pStyle w:val="TableContents"/>
              <w:bidi w:val="0"/>
              <w:spacing w:before="0" w:after="283"/>
              <w:jc w:val="left"/>
              <w:rPr/>
            </w:pPr>
            <w:r>
              <w:rPr/>
              <w:t> </w:t>
            </w:r>
          </w:p>
        </w:tc>
        <w:tc>
          <w:tcPr>
            <w:tcW w:w="122"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serif" w:hAnsi="Times New Roman;serif"/>
                <w:sz w:val="16"/>
              </w:rPr>
            </w:pPr>
            <w:r>
              <w:rPr>
                <w:rFonts w:ascii="Times New Roman;serif" w:hAnsi="Times New Roman;serif"/>
                <w:sz w:val="16"/>
              </w:rPr>
              <w:t>$</w:t>
            </w:r>
          </w:p>
        </w:tc>
        <w:tc>
          <w:tcPr>
            <w:tcW w:w="73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serif" w:hAnsi="Times New Roman;serif"/>
                <w:sz w:val="16"/>
              </w:rPr>
            </w:pPr>
            <w:r>
              <w:rPr>
                <w:rFonts w:ascii="Times New Roman;serif" w:hAnsi="Times New Roman;serif"/>
                <w:sz w:val="16"/>
              </w:rPr>
              <w:t>(0.37</w:t>
            </w:r>
          </w:p>
        </w:tc>
        <w:tc>
          <w:tcPr>
            <w:tcW w:w="80" w:type="dxa"/>
            <w:tcBorders/>
            <w:shd w:fill="FFFFFF" w:val="clear"/>
            <w:vAlign w:val="center"/>
          </w:tcPr>
          <w:p>
            <w:pPr>
              <w:pStyle w:val="TableContents"/>
              <w:bidi w:val="0"/>
              <w:spacing w:before="0" w:after="283"/>
              <w:jc w:val="left"/>
              <w:rPr>
                <w:rFonts w:ascii="Times New Roman;serif" w:hAnsi="Times New Roman;serif"/>
                <w:sz w:val="16"/>
              </w:rPr>
            </w:pPr>
            <w:r>
              <w:rPr>
                <w:rFonts w:ascii="Times New Roman;serif" w:hAnsi="Times New Roman;serif"/>
                <w:sz w:val="16"/>
              </w:rPr>
              <w:t>)</w:t>
            </w:r>
          </w:p>
        </w:tc>
        <w:tc>
          <w:tcPr>
            <w:tcW w:w="60" w:type="dxa"/>
            <w:tcBorders/>
            <w:shd w:fill="FFFFFF" w:val="clear"/>
            <w:vAlign w:val="center"/>
          </w:tcPr>
          <w:p>
            <w:pPr>
              <w:pStyle w:val="TableContents"/>
              <w:bidi w:val="0"/>
              <w:spacing w:before="0" w:after="283"/>
              <w:jc w:val="left"/>
              <w:rPr/>
            </w:pPr>
            <w:r>
              <w:rPr/>
              <w:t> </w:t>
            </w:r>
          </w:p>
        </w:tc>
        <w:tc>
          <w:tcPr>
            <w:tcW w:w="15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serif" w:hAnsi="Times New Roman;serif"/>
                <w:sz w:val="16"/>
              </w:rPr>
            </w:pPr>
            <w:r>
              <w:rPr>
                <w:rFonts w:ascii="Times New Roman;serif" w:hAnsi="Times New Roman;serif"/>
                <w:sz w:val="16"/>
              </w:rPr>
              <w:t>$</w:t>
            </w:r>
          </w:p>
        </w:tc>
        <w:tc>
          <w:tcPr>
            <w:tcW w:w="82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serif" w:hAnsi="Times New Roman;serif"/>
                <w:sz w:val="16"/>
              </w:rPr>
            </w:pPr>
            <w:r>
              <w:rPr>
                <w:rFonts w:ascii="Times New Roman;serif" w:hAnsi="Times New Roman;serif"/>
                <w:sz w:val="16"/>
              </w:rPr>
              <w:t>1.07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88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serif" w:hAnsi="Times New Roman;serif"/>
                <w:sz w:val="16"/>
              </w:rPr>
            </w:pPr>
            <w:r>
              <w:rPr>
                <w:rFonts w:ascii="Times New Roman;serif" w:hAnsi="Times New Roman;serif"/>
                <w:sz w:val="16"/>
              </w:rPr>
              <w:t>$</w:t>
            </w:r>
          </w:p>
        </w:tc>
        <w:tc>
          <w:tcPr>
            <w:tcW w:w="74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serif" w:hAnsi="Times New Roman;serif"/>
                <w:sz w:val="16"/>
              </w:rPr>
            </w:pPr>
            <w:r>
              <w:rPr>
                <w:rFonts w:ascii="Times New Roman;serif" w:hAnsi="Times New Roman;serif"/>
                <w:sz w:val="16"/>
              </w:rPr>
              <w:t>(0.36</w:t>
            </w:r>
          </w:p>
        </w:tc>
        <w:tc>
          <w:tcPr>
            <w:tcW w:w="95" w:type="dxa"/>
            <w:tcBorders/>
            <w:shd w:fill="FFFFFF" w:val="clear"/>
            <w:vAlign w:val="center"/>
          </w:tcPr>
          <w:p>
            <w:pPr>
              <w:pStyle w:val="TableContents"/>
              <w:bidi w:val="0"/>
              <w:spacing w:before="0" w:after="283"/>
              <w:jc w:val="left"/>
              <w:rPr>
                <w:rFonts w:ascii="Times New Roman;serif" w:hAnsi="Times New Roman;serif"/>
                <w:sz w:val="16"/>
              </w:rPr>
            </w:pPr>
            <w:r>
              <w:rPr>
                <w:rFonts w:ascii="Times New Roman;serif" w:hAnsi="Times New Roman;serif"/>
                <w:sz w:val="16"/>
              </w:rPr>
              <w:t>)</w:t>
            </w:r>
          </w:p>
        </w:tc>
      </w:tr>
      <w:tr>
        <w:trPr/>
        <w:tc>
          <w:tcPr>
            <w:tcW w:w="3275" w:type="dxa"/>
            <w:tcBorders/>
            <w:shd w:fill="CCEEFF" w:val="clear"/>
            <w:vAlign w:val="center"/>
          </w:tcPr>
          <w:p>
            <w:pPr>
              <w:pStyle w:val="TableContents"/>
              <w:bidi w:val="0"/>
              <w:spacing w:before="0" w:after="283"/>
              <w:jc w:val="left"/>
              <w:rPr>
                <w:rFonts w:ascii="Times New Roman;serif" w:hAnsi="Times New Roman;serif"/>
                <w:sz w:val="16"/>
              </w:rPr>
            </w:pPr>
            <w:r>
              <w:rPr>
                <w:rFonts w:ascii="Times New Roman;serif" w:hAnsi="Times New Roman;serif"/>
                <w:sz w:val="16"/>
              </w:rPr>
              <w:t>Diluted net income (loss) per share</w:t>
            </w:r>
          </w:p>
        </w:tc>
        <w:tc>
          <w:tcPr>
            <w:tcW w:w="60" w:type="dxa"/>
            <w:tcBorders/>
            <w:shd w:fill="CCEEFF" w:val="clear"/>
            <w:vAlign w:val="center"/>
          </w:tcPr>
          <w:p>
            <w:pPr>
              <w:pStyle w:val="TableContents"/>
              <w:bidi w:val="0"/>
              <w:spacing w:before="0" w:after="283"/>
              <w:jc w:val="left"/>
              <w:rPr/>
            </w:pPr>
            <w:r>
              <w:rPr/>
              <w:t> </w:t>
            </w:r>
          </w:p>
        </w:tc>
        <w:tc>
          <w:tcPr>
            <w:tcW w:w="122"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serif" w:hAnsi="Times New Roman;serif"/>
                <w:sz w:val="16"/>
              </w:rPr>
            </w:pPr>
            <w:r>
              <w:rPr>
                <w:rFonts w:ascii="Times New Roman;serif" w:hAnsi="Times New Roman;serif"/>
                <w:sz w:val="16"/>
              </w:rPr>
              <w:t>$</w:t>
            </w:r>
          </w:p>
        </w:tc>
        <w:tc>
          <w:tcPr>
            <w:tcW w:w="73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serif" w:hAnsi="Times New Roman;serif"/>
                <w:sz w:val="16"/>
              </w:rPr>
            </w:pPr>
            <w:r>
              <w:rPr>
                <w:rFonts w:ascii="Times New Roman;serif" w:hAnsi="Times New Roman;serif"/>
                <w:sz w:val="16"/>
              </w:rPr>
              <w:t>(0.37</w:t>
            </w:r>
          </w:p>
        </w:tc>
        <w:tc>
          <w:tcPr>
            <w:tcW w:w="80" w:type="dxa"/>
            <w:tcBorders/>
            <w:shd w:fill="CCEEFF" w:val="clear"/>
            <w:vAlign w:val="center"/>
          </w:tcPr>
          <w:p>
            <w:pPr>
              <w:pStyle w:val="TableContents"/>
              <w:bidi w:val="0"/>
              <w:spacing w:before="0" w:after="283"/>
              <w:jc w:val="left"/>
              <w:rPr>
                <w:rFonts w:ascii="Times New Roman;serif" w:hAnsi="Times New Roman;serif"/>
                <w:sz w:val="16"/>
              </w:rPr>
            </w:pPr>
            <w:r>
              <w:rPr>
                <w:rFonts w:ascii="Times New Roman;serif" w:hAnsi="Times New Roman;serif"/>
                <w:sz w:val="16"/>
              </w:rPr>
              <w:t>)</w:t>
            </w:r>
          </w:p>
        </w:tc>
        <w:tc>
          <w:tcPr>
            <w:tcW w:w="60" w:type="dxa"/>
            <w:tcBorders/>
            <w:shd w:fill="CCEEFF" w:val="clear"/>
            <w:vAlign w:val="center"/>
          </w:tcPr>
          <w:p>
            <w:pPr>
              <w:pStyle w:val="TableContents"/>
              <w:bidi w:val="0"/>
              <w:spacing w:before="0" w:after="283"/>
              <w:jc w:val="left"/>
              <w:rPr/>
            </w:pPr>
            <w:r>
              <w:rPr/>
              <w:t> </w:t>
            </w:r>
          </w:p>
        </w:tc>
        <w:tc>
          <w:tcPr>
            <w:tcW w:w="15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serif" w:hAnsi="Times New Roman;serif"/>
                <w:sz w:val="16"/>
              </w:rPr>
            </w:pPr>
            <w:r>
              <w:rPr>
                <w:rFonts w:ascii="Times New Roman;serif" w:hAnsi="Times New Roman;serif"/>
                <w:sz w:val="16"/>
              </w:rPr>
              <w:t>$</w:t>
            </w:r>
          </w:p>
        </w:tc>
        <w:tc>
          <w:tcPr>
            <w:tcW w:w="82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serif" w:hAnsi="Times New Roman;serif"/>
                <w:sz w:val="16"/>
              </w:rPr>
            </w:pPr>
            <w:r>
              <w:rPr>
                <w:rFonts w:ascii="Times New Roman;serif" w:hAnsi="Times New Roman;serif"/>
                <w:sz w:val="16"/>
              </w:rPr>
              <w:t>1.06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84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88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serif" w:hAnsi="Times New Roman;serif"/>
                <w:sz w:val="16"/>
              </w:rPr>
            </w:pPr>
            <w:r>
              <w:rPr>
                <w:rFonts w:ascii="Times New Roman;serif" w:hAnsi="Times New Roman;serif"/>
                <w:sz w:val="16"/>
              </w:rPr>
              <w:t>$</w:t>
            </w:r>
          </w:p>
        </w:tc>
        <w:tc>
          <w:tcPr>
            <w:tcW w:w="74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serif" w:hAnsi="Times New Roman;serif"/>
                <w:sz w:val="16"/>
              </w:rPr>
            </w:pPr>
            <w:r>
              <w:rPr>
                <w:rFonts w:ascii="Times New Roman;serif" w:hAnsi="Times New Roman;serif"/>
                <w:sz w:val="16"/>
              </w:rPr>
              <w:t>(0.36</w:t>
            </w:r>
          </w:p>
        </w:tc>
        <w:tc>
          <w:tcPr>
            <w:tcW w:w="95" w:type="dxa"/>
            <w:tcBorders/>
            <w:shd w:fill="CCEEFF" w:val="clear"/>
            <w:vAlign w:val="center"/>
          </w:tcPr>
          <w:p>
            <w:pPr>
              <w:pStyle w:val="TableContents"/>
              <w:bidi w:val="0"/>
              <w:spacing w:before="0" w:after="283"/>
              <w:jc w:val="left"/>
              <w:rPr>
                <w:rFonts w:ascii="Times New Roman;serif" w:hAnsi="Times New Roman;serif"/>
                <w:sz w:val="16"/>
              </w:rPr>
            </w:pPr>
            <w:r>
              <w:rPr>
                <w:rFonts w:ascii="Times New Roman;serif" w:hAnsi="Times New Roman;serif"/>
                <w:sz w:val="16"/>
              </w:rPr>
              <w:t>)</w:t>
            </w:r>
          </w:p>
        </w:tc>
      </w:tr>
    </w:tbl>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pro forma condensed consolidated financial statements.</w:t>
      </w:r>
    </w:p>
    <w:p>
      <w:pPr>
        <w:pStyle w:val="TextBody"/>
        <w:bidi w:val="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6" w:name="a_024"/>
      <w:bookmarkEnd w:id="6"/>
      <w:r>
        <w:rPr>
          <w:rFonts w:ascii="Times New Roman;Times;Serif" w:hAnsi="Times New Roman;Times;Serif"/>
          <w:b/>
          <w:i w:val="false"/>
          <w:caps w:val="false"/>
          <w:smallCaps w:val="false"/>
          <w:sz w:val="20"/>
        </w:rPr>
        <w:t>NOTES TO THE UNAUDITED PRO FORMA CONDENSED COMBINED FINANCIAL INFORMATION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values)</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1 - Basis of Pro Forma Presentation</w:t>
      </w:r>
    </w:p>
    <w:p>
      <w:pPr>
        <w:pStyle w:val="TextBody"/>
        <w:bidi w:val="0"/>
        <w:ind w:left="0" w:right="0" w:firstLine="720"/>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condensed combined financial information has been prepared by the Company in connection with its acquisition of Iridium and the related financing, a leading provider of global voice, data and positioning, navigation and timing satellite services and the only commercial provider of communications services offering true global coverage, connecting people, organizations, and assets to and from anywhere in real time. Iridium sells products and services to government and commercial end users by recruiting and expanding a global wholesale distribution network.</w:t>
      </w:r>
    </w:p>
    <w:p>
      <w:pPr>
        <w:pStyle w:val="TextBody"/>
        <w:bidi w:val="0"/>
        <w:ind w:left="0" w:right="0" w:firstLine="720"/>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and Iridium’s historical financial statements were prepared in accordance with U.S. generally accepted accounting principles in the United States (“GAAP”). Management has included certain reclassification adjustments for consistency in presentation as discussed in Note 3. The Company is currently in the process of evaluating Iridium’s accounting policies which may identify differences between the accounting policies of the Company and Iridium. Based on the information currently available, the Company has determined on a preliminary basis that, except for those identified and adjusted for in the pro forma financials herein, no significant adjustments are necessary to conform Iridium’s accounting policies to the Company’s accounting policies.</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unaudited pro forma condensed combined financial information and related notes were prepared using the acquisition method of accounting in accordance with Accounting Standards Codification 805, Business Combinations, (“ASC 805”) in which Rocket Lab is the accounting acquirer and Iridium is the accounting acquiree. ASC 805 requires, among other things, that the assets acquired, and liabilities assumed, in a business combination, be recognized at their fair values as of the acquisition date unless subject to certain measurement exceptions. For purposes of the unaudited pro forma condensed combined balance sheet, the purchase price has been allocated to the assets acquired and liabilities assumed of Iridium based upon management’s preliminary estimate of their fair values. The excess of the purchase price consideration over the fair value of assets acquired and liabilities assumed represents goodwill. Accordingly, the purchase price allocation and related adjustments reflected in the unaudited pro forma condensed combined financial information are preliminary and subject to adjustment based on a final determination of fair value and tax contingency matters. The purchase price consideration as well as the estimated fair values of the assets and liabilities will be updated and finalized as soon as practicable, but no later than one year from the Closing.</w:t>
      </w:r>
    </w:p>
    <w:p>
      <w:pPr>
        <w:pStyle w:val="TextBody"/>
        <w:bidi w:val="0"/>
        <w:ind w:left="0" w:right="0" w:firstLine="720"/>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 forma adjustments are based upon available information and certain assumptions that the Company believes are reasonable. The unaudited pro forma condensed combined financial information is provided for informational purposes only and does not purport to represent or be indicative of the consolidated results of operations or financial condition of the Company had the Purchase been completed as of the dates presented and should not be construed as representative of the future consolidated results of operations or financial condition of the combined entity. Accordingly, the unaudited condensed pro forma adjustments, which are described in the accompanying notes, may be revised as additional information becomes available and is evaluated. Therefore, it is likely that the actual adjustments will differ from the pro forma adjustments, and it is possible the difference may be material. Rocket Lab believes that its assumptions and methodologies provide a reasonable basis for presenting all of the significant effects of the Purchase and related transactions based on information available to management at the time and that the pro forma adjustments give appropriate effect to those assumptions in the unaudited pro forma condensed combined financial information.</w:t>
      </w:r>
    </w:p>
    <w:p>
      <w:pPr>
        <w:pStyle w:val="TextBody"/>
        <w:bidi w:val="0"/>
        <w:ind w:left="0" w:right="0" w:firstLine="720"/>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condensed combined financial information should be read in conjunction with the historical Rocket Lab and Iridium audited consolidated financial statements as of and for the year ended December 31, 2025, and unaudited condensed consolidated financial statements as of and for the six months ended June 30, 2026 and notes thereto and does not give effect to any anticipated synergies, operating efficiencies, tax savings, or cost savings that may be associated with the Purchase. The unaudited pro forma condensed combined financial information is not necessarily indicative of what the actual results of operations and financial position would have been had the Purchase and related transactions taken place on the dates indicated, nor are they indicative of the future consolidated results of operations or financial position of the Combined Company.</w:t>
      </w:r>
    </w:p>
    <w:p>
      <w:pPr>
        <w:pStyle w:val="TextBody"/>
        <w:bidi w:val="0"/>
        <w:ind w:left="0" w:right="0" w:firstLine="720"/>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financial statements do not reflect the impact of acquisitions completed after June 30, 2026 by Iridium or Rocket Lab, including Iridium’s acquisition of Aireon LLC (“Aireon”) which was completed on July 2, 2026. As a result of the Aireon acquisition by Iridium, Iridium’s debt obligations have increased subsequent</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June 30, 2026, incorporating a $183,400 one-year, non-interest-bearing loan from the sellers and the consolidation of Aireon’s existing term loans, which had an outstanding balance of $154,700 at the closing date. The remaining balances of the additional Aireon indebtedness is expected to be repaid by Rocket Lab at closing.</w:t>
      </w:r>
    </w:p>
    <w:p>
      <w:pPr>
        <w:pStyle w:val="TextBody"/>
        <w:bidi w:val="0"/>
        <w:ind w:left="0" w:right="0" w:firstLine="720"/>
        <w:jc w:val="both"/>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 Significant Accounting Policies</w:t>
      </w:r>
    </w:p>
    <w:p>
      <w:pPr>
        <w:pStyle w:val="TextBody"/>
        <w:bidi w:val="0"/>
        <w:ind w:left="0" w:right="0" w:firstLine="720"/>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accounting policies used in the preparation of these unaudited pro forma condensed combined financial statements are based on the footnotes in Rocket Lab’s audited consolidated financial statements as of and for the year ended December 31, 2025, and Rocket Lab’s unaudited condensed consolidated financial statements as of and for the six months ended June 30, 2026. During the preparation of the unaudited pro forma condensed combined financial statements, management performed a preliminary analysis of Iridium’s financial information to identify differences in accounting policies as compared to those of Rocket Lab and determined that with the information currently available, there were no significant accounting policy differences between the companies requiring adjustments to conform Iridium’s accounting policies to Rocket Lab accounting policies for purposes of unaudited pro forma condensed combined financial statements. This conclusion is subject to change as Rocket Lab continues to conduct a detailed review of Iridium’s accounting policies which may result in the identification of additional differences between the accounting policies of the two companies that, when conformed, could have a material impact on the unaudited pro forma condensed combined financial information.</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3 - Iridium Reclassification Adjustments</w:t>
      </w:r>
    </w:p>
    <w:p>
      <w:pPr>
        <w:pStyle w:val="TextBody"/>
        <w:bidi w:val="0"/>
        <w:ind w:left="0" w:right="0" w:firstLine="720"/>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preparation of the unaudited pro forma condensed combined statement of operations, management performed a preliminary analysis of Iridium’s financial information to identify differences in Iridium’s financial statement presentation as compared to the financial statement presentation of the Company and has made certain reclassification adjustments to conform Iridium’s historical financial statement presentation to the Company’s financial statement presentation. The Company is currently performing a full and detailed review of Iridium’s financial statement presentation, which could result in the amounts in the Company’s future financial statements being materially different from the amounts set forth in the unaudited pro forma condensed combined financial information presented herein.</w:t>
      </w:r>
    </w:p>
    <w:p>
      <w:pPr>
        <w:pStyle w:val="TextBody"/>
        <w:bidi w:val="0"/>
        <w:ind w:left="0" w:right="0" w:firstLine="720"/>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reflects certain reclassification adjustments to conform Iridium’s historical consolidated balance sheet presentation as of June 30, 2026 to Rocket Lab’s historical consolidated balance sheet presentation as of June 30, 2026, which have no impact on net assets and are summarized below (in thousands):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828"/>
        <w:gridCol w:w="60"/>
        <w:gridCol w:w="2874"/>
        <w:gridCol w:w="60"/>
        <w:gridCol w:w="140"/>
        <w:gridCol w:w="980"/>
        <w:gridCol w:w="95"/>
        <w:gridCol w:w="60"/>
        <w:gridCol w:w="188"/>
        <w:gridCol w:w="1017"/>
        <w:gridCol w:w="95"/>
        <w:gridCol w:w="60"/>
        <w:gridCol w:w="456"/>
        <w:gridCol w:w="60"/>
        <w:gridCol w:w="140"/>
        <w:gridCol w:w="980"/>
        <w:gridCol w:w="112"/>
      </w:tblGrid>
      <w:tr>
        <w:trPr/>
        <w:tc>
          <w:tcPr>
            <w:tcW w:w="10205" w:type="dxa"/>
            <w:gridSpan w:val="17"/>
            <w:tcBorders>
              <w:bottom w:val="single" w:sz="8" w:space="0" w:color="000000"/>
            </w:tcBorders>
            <w:vAlign w:val="center"/>
          </w:tcPr>
          <w:p>
            <w:pPr>
              <w:pStyle w:val="TableContents"/>
              <w:bidi w:val="0"/>
              <w:spacing w:before="0" w:after="283"/>
              <w:jc w:val="center"/>
              <w:rPr>
                <w:b/>
                <w:sz w:val="18"/>
              </w:rPr>
            </w:pPr>
            <w:r>
              <w:rPr>
                <w:b/>
                <w:sz w:val="18"/>
              </w:rPr>
              <w:t>Consolidated Balance Sheet presentation as of June 30, 2026</w:t>
            </w:r>
          </w:p>
        </w:tc>
      </w:tr>
      <w:tr>
        <w:trPr/>
        <w:tc>
          <w:tcPr>
            <w:tcW w:w="2828" w:type="dxa"/>
            <w:tcBorders>
              <w:bottom w:val="single" w:sz="8" w:space="0" w:color="000000"/>
            </w:tcBorders>
            <w:vAlign w:val="center"/>
          </w:tcPr>
          <w:p>
            <w:pPr>
              <w:pStyle w:val="TableContents"/>
              <w:bidi w:val="0"/>
              <w:spacing w:before="0" w:after="283"/>
              <w:jc w:val="center"/>
              <w:rPr>
                <w:b/>
                <w:sz w:val="18"/>
              </w:rPr>
            </w:pPr>
            <w:r>
              <w:rPr>
                <w:b/>
                <w:sz w:val="18"/>
              </w:rPr>
              <w:t>Rocket Lab</w:t>
            </w:r>
          </w:p>
        </w:tc>
        <w:tc>
          <w:tcPr>
            <w:tcW w:w="60" w:type="dxa"/>
            <w:tcBorders/>
            <w:tcMar>
              <w:bottom w:w="0" w:type="dxa"/>
            </w:tcMar>
            <w:vAlign w:val="center"/>
          </w:tcPr>
          <w:p>
            <w:pPr>
              <w:pStyle w:val="TableContents"/>
              <w:bidi w:val="0"/>
              <w:spacing w:before="0" w:after="283"/>
              <w:jc w:val="left"/>
              <w:rPr/>
            </w:pPr>
            <w:r>
              <w:rPr/>
              <w:t> </w:t>
            </w:r>
          </w:p>
        </w:tc>
        <w:tc>
          <w:tcPr>
            <w:tcW w:w="2874" w:type="dxa"/>
            <w:tcBorders>
              <w:bottom w:val="single" w:sz="8" w:space="0" w:color="000000"/>
            </w:tcBorders>
            <w:vAlign w:val="center"/>
          </w:tcPr>
          <w:p>
            <w:pPr>
              <w:pStyle w:val="TableContents"/>
              <w:bidi w:val="0"/>
              <w:spacing w:before="0" w:after="283"/>
              <w:jc w:val="center"/>
              <w:rPr>
                <w:b/>
                <w:sz w:val="18"/>
              </w:rPr>
            </w:pPr>
            <w:r>
              <w:rPr>
                <w:b/>
                <w:sz w:val="18"/>
              </w:rPr>
              <w:t>Iridium</w:t>
            </w:r>
          </w:p>
        </w:tc>
        <w:tc>
          <w:tcPr>
            <w:tcW w:w="60" w:type="dxa"/>
            <w:tcBorders/>
            <w:tcMar>
              <w:bottom w:w="0" w:type="dxa"/>
            </w:tcMar>
            <w:vAlign w:val="center"/>
          </w:tcPr>
          <w:p>
            <w:pPr>
              <w:pStyle w:val="TableContents"/>
              <w:bidi w:val="0"/>
              <w:spacing w:before="0" w:after="283"/>
              <w:jc w:val="left"/>
              <w:rPr/>
            </w:pPr>
            <w:r>
              <w:rPr/>
              <w:t> </w:t>
            </w:r>
          </w:p>
        </w:tc>
        <w:tc>
          <w:tcPr>
            <w:tcW w:w="1120" w:type="dxa"/>
            <w:gridSpan w:val="2"/>
            <w:tcBorders>
              <w:bottom w:val="single" w:sz="8" w:space="0" w:color="000000"/>
            </w:tcBorders>
            <w:vAlign w:val="center"/>
          </w:tcPr>
          <w:p>
            <w:pPr>
              <w:pStyle w:val="TableContents"/>
              <w:bidi w:val="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 xml:space="preserve">Iridium </w:t>
            </w:r>
          </w:p>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Historical</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05" w:type="dxa"/>
            <w:gridSpan w:val="2"/>
            <w:tcBorders>
              <w:bottom w:val="single" w:sz="8" w:space="0" w:color="000000"/>
            </w:tcBorders>
            <w:vAlign w:val="center"/>
          </w:tcPr>
          <w:p>
            <w:pPr>
              <w:pStyle w:val="TableContents"/>
              <w:bidi w:val="0"/>
              <w:spacing w:before="0" w:after="283"/>
              <w:jc w:val="center"/>
              <w:rPr>
                <w:b/>
                <w:sz w:val="18"/>
              </w:rPr>
            </w:pPr>
            <w:r>
              <w:rPr>
                <w:b/>
                <w:sz w:val="18"/>
              </w:rPr>
              <w:t>Reclassification</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56" w:type="dxa"/>
            <w:tcBorders>
              <w:bottom w:val="single" w:sz="8" w:space="0" w:color="000000"/>
            </w:tcBorders>
            <w:vAlign w:val="center"/>
          </w:tcPr>
          <w:p>
            <w:pPr>
              <w:pStyle w:val="TableContents"/>
              <w:bidi w:val="0"/>
              <w:spacing w:before="0" w:after="283"/>
              <w:jc w:val="center"/>
              <w:rPr>
                <w:b/>
                <w:sz w:val="18"/>
              </w:rPr>
            </w:pPr>
            <w:r>
              <w:rPr>
                <w:b/>
                <w:sz w:val="18"/>
              </w:rPr>
              <w:t>Note</w:t>
            </w:r>
          </w:p>
        </w:tc>
        <w:tc>
          <w:tcPr>
            <w:tcW w:w="60" w:type="dxa"/>
            <w:tcBorders/>
            <w:tcMar>
              <w:bottom w:w="0" w:type="dxa"/>
            </w:tcMar>
            <w:vAlign w:val="center"/>
          </w:tcPr>
          <w:p>
            <w:pPr>
              <w:pStyle w:val="TableContents"/>
              <w:bidi w:val="0"/>
              <w:spacing w:before="0" w:after="283"/>
              <w:jc w:val="left"/>
              <w:rPr/>
            </w:pPr>
            <w:r>
              <w:rPr/>
              <w:t> </w:t>
            </w:r>
          </w:p>
        </w:tc>
        <w:tc>
          <w:tcPr>
            <w:tcW w:w="1120" w:type="dxa"/>
            <w:gridSpan w:val="2"/>
            <w:tcBorders>
              <w:bottom w:val="single" w:sz="8" w:space="0" w:color="000000"/>
            </w:tcBorders>
            <w:vAlign w:val="center"/>
          </w:tcPr>
          <w:p>
            <w:pPr>
              <w:pStyle w:val="TableContents"/>
              <w:bidi w:val="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 xml:space="preserve">Iridium </w:t>
            </w:r>
          </w:p>
          <w:p>
            <w:pPr>
              <w:pStyle w:val="TableContents"/>
              <w:bidi w:val="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 xml:space="preserve">Historical, as </w:t>
            </w:r>
          </w:p>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Reclassified</w:t>
            </w:r>
          </w:p>
        </w:tc>
        <w:tc>
          <w:tcPr>
            <w:tcW w:w="112" w:type="dxa"/>
            <w:tcBorders/>
            <w:tcMar>
              <w:bottom w:w="0" w:type="dxa"/>
            </w:tcMar>
            <w:vAlign w:val="center"/>
          </w:tcPr>
          <w:p>
            <w:pPr>
              <w:pStyle w:val="TableContents"/>
              <w:bidi w:val="0"/>
              <w:spacing w:before="0" w:after="283"/>
              <w:jc w:val="left"/>
              <w:rPr/>
            </w:pPr>
            <w:r>
              <w:rPr/>
              <w:t> </w:t>
            </w:r>
          </w:p>
        </w:tc>
      </w:tr>
      <w:tr>
        <w:trPr/>
        <w:tc>
          <w:tcPr>
            <w:tcW w:w="2828" w:type="dxa"/>
            <w:tcBorders/>
            <w:shd w:fill="CCEEFF" w:val="clear"/>
            <w:tcMar>
              <w:bottom w:w="0" w:type="dxa"/>
            </w:tcMar>
            <w:vAlign w:val="center"/>
          </w:tcPr>
          <w:p>
            <w:pPr>
              <w:pStyle w:val="TableContents"/>
              <w:bidi w:val="0"/>
              <w:spacing w:before="0" w:after="283"/>
              <w:jc w:val="left"/>
              <w:rPr/>
            </w:pPr>
            <w:r>
              <w:rPr/>
              <w:t>Cash and cash equivalents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74" w:type="dxa"/>
            <w:tcBorders/>
            <w:shd w:fill="CCEEFF" w:val="clear"/>
            <w:tcMar>
              <w:bottom w:w="0" w:type="dxa"/>
            </w:tcMar>
            <w:vAlign w:val="center"/>
          </w:tcPr>
          <w:p>
            <w:pPr>
              <w:pStyle w:val="TableContents"/>
              <w:bidi w:val="0"/>
              <w:spacing w:before="0" w:after="283"/>
              <w:jc w:val="left"/>
              <w:rPr/>
            </w:pPr>
            <w:r>
              <w:rPr/>
              <w:t>Cash and cash equivalents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980" w:type="dxa"/>
            <w:tcBorders/>
            <w:shd w:fill="CCEEFF" w:val="clear"/>
            <w:tcMar>
              <w:bottom w:w="0" w:type="dxa"/>
            </w:tcMar>
            <w:vAlign w:val="center"/>
          </w:tcPr>
          <w:p>
            <w:pPr>
              <w:pStyle w:val="TableContents"/>
              <w:bidi w:val="0"/>
              <w:spacing w:before="0" w:after="283"/>
              <w:jc w:val="right"/>
              <w:rPr/>
            </w:pPr>
            <w:r>
              <w:rPr/>
              <w:t>184,214</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8" w:type="dxa"/>
            <w:tcBorders/>
            <w:shd w:fill="CCEEFF" w:val="clear"/>
            <w:tcMar>
              <w:bottom w:w="0" w:type="dxa"/>
            </w:tcMar>
            <w:vAlign w:val="center"/>
          </w:tcPr>
          <w:p>
            <w:pPr>
              <w:pStyle w:val="TableContents"/>
              <w:bidi w:val="0"/>
              <w:spacing w:before="0" w:after="283"/>
              <w:jc w:val="left"/>
              <w:rPr>
                <w:b/>
              </w:rPr>
            </w:pPr>
            <w:r>
              <w:rPr>
                <w:b/>
              </w:rPr>
              <w:t>$</w:t>
            </w:r>
          </w:p>
        </w:tc>
        <w:tc>
          <w:tcPr>
            <w:tcW w:w="1017"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56"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980" w:type="dxa"/>
            <w:tcBorders/>
            <w:shd w:fill="CCEEFF" w:val="clear"/>
            <w:tcMar>
              <w:bottom w:w="0" w:type="dxa"/>
            </w:tcMar>
            <w:vAlign w:val="center"/>
          </w:tcPr>
          <w:p>
            <w:pPr>
              <w:pStyle w:val="TableContents"/>
              <w:bidi w:val="0"/>
              <w:spacing w:before="0" w:after="283"/>
              <w:jc w:val="right"/>
              <w:rPr/>
            </w:pPr>
            <w:r>
              <w:rPr/>
              <w:t>184,214</w:t>
            </w:r>
          </w:p>
        </w:tc>
        <w:tc>
          <w:tcPr>
            <w:tcW w:w="112" w:type="dxa"/>
            <w:tcBorders/>
            <w:shd w:fill="CCEEFF" w:val="clear"/>
            <w:tcMar>
              <w:bottom w:w="0" w:type="dxa"/>
            </w:tcMar>
            <w:vAlign w:val="center"/>
          </w:tcPr>
          <w:p>
            <w:pPr>
              <w:pStyle w:val="TableContents"/>
              <w:bidi w:val="0"/>
              <w:spacing w:before="0" w:after="283"/>
              <w:jc w:val="left"/>
              <w:rPr/>
            </w:pPr>
            <w:r>
              <w:rPr/>
              <w:t> </w:t>
            </w:r>
          </w:p>
        </w:tc>
      </w:tr>
      <w:tr>
        <w:trPr/>
        <w:tc>
          <w:tcPr>
            <w:tcW w:w="2828" w:type="dxa"/>
            <w:tcBorders/>
            <w:shd w:fill="FFFFFF" w:val="clear"/>
            <w:tcMar>
              <w:bottom w:w="0" w:type="dxa"/>
            </w:tcMar>
            <w:vAlign w:val="center"/>
          </w:tcPr>
          <w:p>
            <w:pPr>
              <w:pStyle w:val="TableContents"/>
              <w:bidi w:val="0"/>
              <w:spacing w:before="0" w:after="283"/>
              <w:jc w:val="left"/>
              <w:rPr/>
            </w:pPr>
            <w:r>
              <w:rPr/>
              <w:t>Accounts receivable, net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74" w:type="dxa"/>
            <w:tcBorders/>
            <w:shd w:fill="FFFFFF" w:val="clear"/>
            <w:tcMar>
              <w:bottom w:w="0" w:type="dxa"/>
            </w:tcMar>
            <w:vAlign w:val="center"/>
          </w:tcPr>
          <w:p>
            <w:pPr>
              <w:pStyle w:val="TableContents"/>
              <w:bidi w:val="0"/>
              <w:spacing w:before="0" w:after="283"/>
              <w:jc w:val="left"/>
              <w:rPr/>
            </w:pPr>
            <w:r>
              <w:rPr/>
              <w:t>Accounts receivable, net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104,515</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8" w:type="dxa"/>
            <w:tcBorders/>
            <w:shd w:fill="FFFFFF" w:val="clear"/>
            <w:tcMar>
              <w:bottom w:w="0" w:type="dxa"/>
            </w:tcMar>
            <w:vAlign w:val="center"/>
          </w:tcPr>
          <w:p>
            <w:pPr>
              <w:pStyle w:val="TableContents"/>
              <w:bidi w:val="0"/>
              <w:spacing w:before="0" w:after="283"/>
              <w:jc w:val="left"/>
              <w:rPr/>
            </w:pPr>
            <w:r>
              <w:rPr/>
              <w:t> </w:t>
            </w:r>
          </w:p>
        </w:tc>
        <w:tc>
          <w:tcPr>
            <w:tcW w:w="1017"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56"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104,515</w:t>
            </w:r>
          </w:p>
        </w:tc>
        <w:tc>
          <w:tcPr>
            <w:tcW w:w="112" w:type="dxa"/>
            <w:tcBorders/>
            <w:shd w:fill="FFFFFF" w:val="clear"/>
            <w:tcMar>
              <w:bottom w:w="0" w:type="dxa"/>
            </w:tcMar>
            <w:vAlign w:val="center"/>
          </w:tcPr>
          <w:p>
            <w:pPr>
              <w:pStyle w:val="TableContents"/>
              <w:bidi w:val="0"/>
              <w:spacing w:before="0" w:after="283"/>
              <w:jc w:val="left"/>
              <w:rPr/>
            </w:pPr>
            <w:r>
              <w:rPr/>
              <w:t> </w:t>
            </w:r>
          </w:p>
        </w:tc>
      </w:tr>
      <w:tr>
        <w:trPr/>
        <w:tc>
          <w:tcPr>
            <w:tcW w:w="2828" w:type="dxa"/>
            <w:tcBorders/>
            <w:shd w:fill="CCEEFF" w:val="clear"/>
            <w:tcMar>
              <w:bottom w:w="0" w:type="dxa"/>
            </w:tcMar>
            <w:vAlign w:val="center"/>
          </w:tcPr>
          <w:p>
            <w:pPr>
              <w:pStyle w:val="TableContents"/>
              <w:bidi w:val="0"/>
              <w:spacing w:before="0" w:after="283"/>
              <w:jc w:val="left"/>
              <w:rPr/>
            </w:pPr>
            <w:r>
              <w:rPr/>
              <w:t>Contract assets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74"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8" w:type="dxa"/>
            <w:tcBorders/>
            <w:shd w:fill="CCEEFF" w:val="clear"/>
            <w:tcMar>
              <w:bottom w:w="0" w:type="dxa"/>
            </w:tcMar>
            <w:vAlign w:val="center"/>
          </w:tcPr>
          <w:p>
            <w:pPr>
              <w:pStyle w:val="TableContents"/>
              <w:bidi w:val="0"/>
              <w:spacing w:before="0" w:after="283"/>
              <w:jc w:val="left"/>
              <w:rPr/>
            </w:pPr>
            <w:r>
              <w:rPr/>
              <w:t> </w:t>
            </w:r>
          </w:p>
        </w:tc>
        <w:tc>
          <w:tcPr>
            <w:tcW w:w="1017" w:type="dxa"/>
            <w:tcBorders/>
            <w:shd w:fill="CCEEFF" w:val="clear"/>
            <w:tcMar>
              <w:bottom w:w="0" w:type="dxa"/>
            </w:tcMar>
            <w:vAlign w:val="center"/>
          </w:tcPr>
          <w:p>
            <w:pPr>
              <w:pStyle w:val="TableContents"/>
              <w:bidi w:val="0"/>
              <w:spacing w:before="0" w:after="283"/>
              <w:jc w:val="right"/>
              <w:rPr/>
            </w:pPr>
            <w:r>
              <w:rPr/>
              <w:t>3,086</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56" w:type="dxa"/>
            <w:tcBorders/>
            <w:shd w:fill="CCEEFF" w:val="clear"/>
            <w:tcMar>
              <w:bottom w:w="0" w:type="dxa"/>
            </w:tcMar>
            <w:vAlign w:val="center"/>
          </w:tcPr>
          <w:p>
            <w:pPr>
              <w:pStyle w:val="TableContents"/>
              <w:bidi w:val="0"/>
              <w:spacing w:before="0" w:after="283"/>
              <w:jc w:val="center"/>
              <w:rPr/>
            </w:pPr>
            <w:r>
              <w:rPr/>
              <w:t>(a)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3,086</w:t>
            </w:r>
          </w:p>
        </w:tc>
        <w:tc>
          <w:tcPr>
            <w:tcW w:w="112" w:type="dxa"/>
            <w:tcBorders/>
            <w:shd w:fill="CCEEFF" w:val="clear"/>
            <w:tcMar>
              <w:bottom w:w="0" w:type="dxa"/>
            </w:tcMar>
            <w:vAlign w:val="center"/>
          </w:tcPr>
          <w:p>
            <w:pPr>
              <w:pStyle w:val="TableContents"/>
              <w:bidi w:val="0"/>
              <w:spacing w:before="0" w:after="283"/>
              <w:jc w:val="left"/>
              <w:rPr/>
            </w:pPr>
            <w:r>
              <w:rPr/>
              <w:t> </w:t>
            </w:r>
          </w:p>
        </w:tc>
      </w:tr>
      <w:tr>
        <w:trPr/>
        <w:tc>
          <w:tcPr>
            <w:tcW w:w="2828" w:type="dxa"/>
            <w:tcBorders/>
            <w:shd w:fill="FFFFFF" w:val="clear"/>
            <w:tcMar>
              <w:bottom w:w="0" w:type="dxa"/>
            </w:tcMar>
            <w:vAlign w:val="center"/>
          </w:tcPr>
          <w:p>
            <w:pPr>
              <w:pStyle w:val="TableContents"/>
              <w:bidi w:val="0"/>
              <w:spacing w:before="0" w:after="283"/>
              <w:jc w:val="left"/>
              <w:rPr/>
            </w:pPr>
            <w:r>
              <w:rPr/>
              <w:t>Inventories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74" w:type="dxa"/>
            <w:tcBorders/>
            <w:shd w:fill="FFFFFF" w:val="clear"/>
            <w:tcMar>
              <w:bottom w:w="0" w:type="dxa"/>
            </w:tcMar>
            <w:vAlign w:val="center"/>
          </w:tcPr>
          <w:p>
            <w:pPr>
              <w:pStyle w:val="TableContents"/>
              <w:bidi w:val="0"/>
              <w:spacing w:before="0" w:after="283"/>
              <w:jc w:val="left"/>
              <w:rPr/>
            </w:pPr>
            <w:r>
              <w:rPr/>
              <w:t>Inventory</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63,470</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8" w:type="dxa"/>
            <w:tcBorders/>
            <w:shd w:fill="FFFFFF" w:val="clear"/>
            <w:tcMar>
              <w:bottom w:w="0" w:type="dxa"/>
            </w:tcMar>
            <w:vAlign w:val="center"/>
          </w:tcPr>
          <w:p>
            <w:pPr>
              <w:pStyle w:val="TableContents"/>
              <w:bidi w:val="0"/>
              <w:spacing w:before="0" w:after="283"/>
              <w:jc w:val="left"/>
              <w:rPr/>
            </w:pPr>
            <w:r>
              <w:rPr/>
              <w:t> </w:t>
            </w:r>
          </w:p>
        </w:tc>
        <w:tc>
          <w:tcPr>
            <w:tcW w:w="1017"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56"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63,470</w:t>
            </w:r>
          </w:p>
        </w:tc>
        <w:tc>
          <w:tcPr>
            <w:tcW w:w="112" w:type="dxa"/>
            <w:tcBorders/>
            <w:shd w:fill="FFFFFF" w:val="clear"/>
            <w:tcMar>
              <w:bottom w:w="0" w:type="dxa"/>
            </w:tcMar>
            <w:vAlign w:val="center"/>
          </w:tcPr>
          <w:p>
            <w:pPr>
              <w:pStyle w:val="TableContents"/>
              <w:bidi w:val="0"/>
              <w:spacing w:before="0" w:after="283"/>
              <w:jc w:val="left"/>
              <w:rPr/>
            </w:pPr>
            <w:r>
              <w:rPr/>
              <w:t> </w:t>
            </w:r>
          </w:p>
        </w:tc>
      </w:tr>
      <w:tr>
        <w:trPr/>
        <w:tc>
          <w:tcPr>
            <w:tcW w:w="2828" w:type="dxa"/>
            <w:tcBorders/>
            <w:shd w:fill="CCEEFF" w:val="clear"/>
            <w:tcMar>
              <w:bottom w:w="0" w:type="dxa"/>
            </w:tcMar>
            <w:vAlign w:val="center"/>
          </w:tcPr>
          <w:p>
            <w:pPr>
              <w:pStyle w:val="TableContents"/>
              <w:bidi w:val="0"/>
              <w:spacing w:before="0" w:after="283"/>
              <w:jc w:val="left"/>
              <w:rPr/>
            </w:pPr>
            <w:r>
              <w:rPr/>
              <w:t>Prepaids and other current assets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74" w:type="dxa"/>
            <w:tcBorders/>
            <w:shd w:fill="CCEEFF" w:val="clear"/>
            <w:tcMar>
              <w:bottom w:w="0" w:type="dxa"/>
            </w:tcMar>
            <w:vAlign w:val="center"/>
          </w:tcPr>
          <w:p>
            <w:pPr>
              <w:pStyle w:val="TableContents"/>
              <w:bidi w:val="0"/>
              <w:spacing w:before="0" w:after="283"/>
              <w:jc w:val="left"/>
              <w:rPr/>
            </w:pPr>
            <w:r>
              <w:rPr/>
              <w:t>Prepaid expenses and other current assets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24,867</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8" w:type="dxa"/>
            <w:tcBorders/>
            <w:shd w:fill="CCEEFF" w:val="clear"/>
            <w:tcMar>
              <w:bottom w:w="0" w:type="dxa"/>
            </w:tcMar>
            <w:vAlign w:val="center"/>
          </w:tcPr>
          <w:p>
            <w:pPr>
              <w:pStyle w:val="TableContents"/>
              <w:bidi w:val="0"/>
              <w:spacing w:before="0" w:after="283"/>
              <w:jc w:val="left"/>
              <w:rPr/>
            </w:pPr>
            <w:r>
              <w:rPr/>
              <w:t> </w:t>
            </w:r>
          </w:p>
        </w:tc>
        <w:tc>
          <w:tcPr>
            <w:tcW w:w="1017" w:type="dxa"/>
            <w:tcBorders/>
            <w:shd w:fill="CCEEFF" w:val="clear"/>
            <w:tcMar>
              <w:bottom w:w="0" w:type="dxa"/>
            </w:tcMar>
            <w:vAlign w:val="center"/>
          </w:tcPr>
          <w:p>
            <w:pPr>
              <w:pStyle w:val="TableContents"/>
              <w:bidi w:val="0"/>
              <w:spacing w:before="0" w:after="283"/>
              <w:jc w:val="right"/>
              <w:rPr/>
            </w:pPr>
            <w:r>
              <w:rPr/>
              <w:t>(3,086</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456" w:type="dxa"/>
            <w:tcBorders/>
            <w:shd w:fill="CCEEFF" w:val="clear"/>
            <w:tcMar>
              <w:bottom w:w="0" w:type="dxa"/>
            </w:tcMar>
            <w:vAlign w:val="center"/>
          </w:tcPr>
          <w:p>
            <w:pPr>
              <w:pStyle w:val="TableContents"/>
              <w:bidi w:val="0"/>
              <w:spacing w:before="0" w:after="283"/>
              <w:jc w:val="center"/>
              <w:rPr/>
            </w:pPr>
            <w:r>
              <w:rPr/>
              <w:t>(a)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21,781</w:t>
            </w:r>
          </w:p>
        </w:tc>
        <w:tc>
          <w:tcPr>
            <w:tcW w:w="112" w:type="dxa"/>
            <w:tcBorders/>
            <w:shd w:fill="CCEEFF" w:val="clear"/>
            <w:tcMar>
              <w:bottom w:w="0" w:type="dxa"/>
            </w:tcMar>
            <w:vAlign w:val="center"/>
          </w:tcPr>
          <w:p>
            <w:pPr>
              <w:pStyle w:val="TableContents"/>
              <w:bidi w:val="0"/>
              <w:spacing w:before="0" w:after="283"/>
              <w:jc w:val="left"/>
              <w:rPr/>
            </w:pPr>
            <w:r>
              <w:rPr/>
              <w:t> </w:t>
            </w:r>
          </w:p>
        </w:tc>
      </w:tr>
      <w:tr>
        <w:trPr/>
        <w:tc>
          <w:tcPr>
            <w:tcW w:w="2828" w:type="dxa"/>
            <w:tcBorders/>
            <w:shd w:fill="FFFFFF" w:val="clear"/>
            <w:tcMar>
              <w:bottom w:w="0" w:type="dxa"/>
            </w:tcMar>
            <w:vAlign w:val="center"/>
          </w:tcPr>
          <w:p>
            <w:pPr>
              <w:pStyle w:val="TableContents"/>
              <w:bidi w:val="0"/>
              <w:spacing w:before="0" w:after="283"/>
              <w:jc w:val="left"/>
              <w:rPr/>
            </w:pPr>
            <w:r>
              <w:rPr/>
              <w:t>Property, plant and equipment, net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74" w:type="dxa"/>
            <w:tcBorders/>
            <w:shd w:fill="FFFFFF" w:val="clear"/>
            <w:tcMar>
              <w:bottom w:w="0" w:type="dxa"/>
            </w:tcMar>
            <w:vAlign w:val="center"/>
          </w:tcPr>
          <w:p>
            <w:pPr>
              <w:pStyle w:val="TableContents"/>
              <w:bidi w:val="0"/>
              <w:spacing w:before="0" w:after="283"/>
              <w:jc w:val="left"/>
              <w:rPr/>
            </w:pPr>
            <w:r>
              <w:rPr/>
              <w:t>Property and equipment, net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1,927,018</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8" w:type="dxa"/>
            <w:tcBorders/>
            <w:shd w:fill="FFFFFF" w:val="clear"/>
            <w:tcMar>
              <w:bottom w:w="0" w:type="dxa"/>
            </w:tcMar>
            <w:vAlign w:val="center"/>
          </w:tcPr>
          <w:p>
            <w:pPr>
              <w:pStyle w:val="TableContents"/>
              <w:bidi w:val="0"/>
              <w:spacing w:before="0" w:after="283"/>
              <w:jc w:val="left"/>
              <w:rPr/>
            </w:pPr>
            <w:r>
              <w:rPr/>
              <w:t> </w:t>
            </w:r>
          </w:p>
        </w:tc>
        <w:tc>
          <w:tcPr>
            <w:tcW w:w="1017"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56"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1,927,018</w:t>
            </w:r>
          </w:p>
        </w:tc>
        <w:tc>
          <w:tcPr>
            <w:tcW w:w="112" w:type="dxa"/>
            <w:tcBorders/>
            <w:shd w:fill="FFFFFF" w:val="clear"/>
            <w:tcMar>
              <w:bottom w:w="0" w:type="dxa"/>
            </w:tcMar>
            <w:vAlign w:val="center"/>
          </w:tcPr>
          <w:p>
            <w:pPr>
              <w:pStyle w:val="TableContents"/>
              <w:bidi w:val="0"/>
              <w:spacing w:before="0" w:after="283"/>
              <w:jc w:val="left"/>
              <w:rPr/>
            </w:pPr>
            <w:r>
              <w:rPr/>
              <w:t> </w:t>
            </w:r>
          </w:p>
        </w:tc>
      </w:tr>
      <w:tr>
        <w:trPr/>
        <w:tc>
          <w:tcPr>
            <w:tcW w:w="2828" w:type="dxa"/>
            <w:tcBorders/>
            <w:shd w:fill="CCEEFF" w:val="clear"/>
            <w:tcMar>
              <w:bottom w:w="0" w:type="dxa"/>
            </w:tcMar>
            <w:vAlign w:val="center"/>
          </w:tcPr>
          <w:p>
            <w:pPr>
              <w:pStyle w:val="TableContents"/>
              <w:bidi w:val="0"/>
              <w:spacing w:before="0" w:after="283"/>
              <w:jc w:val="left"/>
              <w:rPr/>
            </w:pPr>
            <w:r>
              <w:rPr/>
              <w:t>Intangible assets, net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74" w:type="dxa"/>
            <w:tcBorders/>
            <w:shd w:fill="CCEEFF" w:val="clear"/>
            <w:tcMar>
              <w:bottom w:w="0" w:type="dxa"/>
            </w:tcMar>
            <w:vAlign w:val="center"/>
          </w:tcPr>
          <w:p>
            <w:pPr>
              <w:pStyle w:val="TableContents"/>
              <w:bidi w:val="0"/>
              <w:spacing w:before="0" w:after="283"/>
              <w:jc w:val="left"/>
              <w:rPr/>
            </w:pPr>
            <w:r>
              <w:rPr/>
              <w:t>Intangible assets, net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82,666</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8" w:type="dxa"/>
            <w:tcBorders/>
            <w:shd w:fill="CCEEFF" w:val="clear"/>
            <w:tcMar>
              <w:bottom w:w="0" w:type="dxa"/>
            </w:tcMar>
            <w:vAlign w:val="center"/>
          </w:tcPr>
          <w:p>
            <w:pPr>
              <w:pStyle w:val="TableContents"/>
              <w:bidi w:val="0"/>
              <w:spacing w:before="0" w:after="283"/>
              <w:jc w:val="left"/>
              <w:rPr/>
            </w:pPr>
            <w:r>
              <w:rPr/>
              <w:t> </w:t>
            </w:r>
          </w:p>
        </w:tc>
        <w:tc>
          <w:tcPr>
            <w:tcW w:w="1017"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56"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82,666</w:t>
            </w:r>
          </w:p>
        </w:tc>
        <w:tc>
          <w:tcPr>
            <w:tcW w:w="112" w:type="dxa"/>
            <w:tcBorders/>
            <w:shd w:fill="CCEEFF" w:val="clear"/>
            <w:tcMar>
              <w:bottom w:w="0" w:type="dxa"/>
            </w:tcMar>
            <w:vAlign w:val="center"/>
          </w:tcPr>
          <w:p>
            <w:pPr>
              <w:pStyle w:val="TableContents"/>
              <w:bidi w:val="0"/>
              <w:spacing w:before="0" w:after="283"/>
              <w:jc w:val="left"/>
              <w:rPr/>
            </w:pPr>
            <w:r>
              <w:rPr/>
              <w:t> </w:t>
            </w:r>
          </w:p>
        </w:tc>
      </w:tr>
      <w:tr>
        <w:trPr/>
        <w:tc>
          <w:tcPr>
            <w:tcW w:w="2828" w:type="dxa"/>
            <w:tcBorders/>
            <w:shd w:fill="FFFFFF" w:val="clear"/>
            <w:tcMar>
              <w:bottom w:w="0" w:type="dxa"/>
            </w:tcMar>
            <w:vAlign w:val="center"/>
          </w:tcPr>
          <w:p>
            <w:pPr>
              <w:pStyle w:val="TableContents"/>
              <w:bidi w:val="0"/>
              <w:spacing w:before="0" w:after="283"/>
              <w:jc w:val="left"/>
              <w:rPr/>
            </w:pPr>
            <w:r>
              <w:rPr/>
              <w:t>Goodwill</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74" w:type="dxa"/>
            <w:tcBorders/>
            <w:shd w:fill="FFFFFF" w:val="clear"/>
            <w:tcMar>
              <w:bottom w:w="0" w:type="dxa"/>
            </w:tcMar>
            <w:vAlign w:val="center"/>
          </w:tcPr>
          <w:p>
            <w:pPr>
              <w:pStyle w:val="TableContents"/>
              <w:bidi w:val="0"/>
              <w:spacing w:before="0" w:after="283"/>
              <w:jc w:val="left"/>
              <w:rPr/>
            </w:pPr>
            <w:r>
              <w:rPr/>
              <w:t>Goodwill</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98,942</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8" w:type="dxa"/>
            <w:tcBorders/>
            <w:shd w:fill="FFFFFF" w:val="clear"/>
            <w:tcMar>
              <w:bottom w:w="0" w:type="dxa"/>
            </w:tcMar>
            <w:vAlign w:val="center"/>
          </w:tcPr>
          <w:p>
            <w:pPr>
              <w:pStyle w:val="TableContents"/>
              <w:bidi w:val="0"/>
              <w:spacing w:before="0" w:after="283"/>
              <w:jc w:val="left"/>
              <w:rPr/>
            </w:pPr>
            <w:r>
              <w:rPr/>
              <w:t> </w:t>
            </w:r>
          </w:p>
        </w:tc>
        <w:tc>
          <w:tcPr>
            <w:tcW w:w="1017"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56"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98,942</w:t>
            </w:r>
          </w:p>
        </w:tc>
        <w:tc>
          <w:tcPr>
            <w:tcW w:w="112" w:type="dxa"/>
            <w:tcBorders/>
            <w:shd w:fill="FFFFFF" w:val="clear"/>
            <w:tcMar>
              <w:bottom w:w="0" w:type="dxa"/>
            </w:tcMar>
            <w:vAlign w:val="center"/>
          </w:tcPr>
          <w:p>
            <w:pPr>
              <w:pStyle w:val="TableContents"/>
              <w:bidi w:val="0"/>
              <w:spacing w:before="0" w:after="283"/>
              <w:jc w:val="left"/>
              <w:rPr/>
            </w:pPr>
            <w:r>
              <w:rPr/>
              <w:t> </w:t>
            </w:r>
          </w:p>
        </w:tc>
      </w:tr>
      <w:tr>
        <w:trPr/>
        <w:tc>
          <w:tcPr>
            <w:tcW w:w="2828" w:type="dxa"/>
            <w:tcBorders/>
            <w:shd w:fill="CCEEFF" w:val="clear"/>
            <w:tcMar>
              <w:bottom w:w="0" w:type="dxa"/>
            </w:tcMar>
            <w:vAlign w:val="center"/>
          </w:tcPr>
          <w:p>
            <w:pPr>
              <w:pStyle w:val="TableContents"/>
              <w:bidi w:val="0"/>
              <w:spacing w:before="0" w:after="283"/>
              <w:jc w:val="left"/>
              <w:rPr/>
            </w:pPr>
            <w:r>
              <w:rPr/>
              <w:t>Right-of-use assets - operating leases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74"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8" w:type="dxa"/>
            <w:tcBorders/>
            <w:shd w:fill="CCEEFF" w:val="clear"/>
            <w:tcMar>
              <w:bottom w:w="0" w:type="dxa"/>
            </w:tcMar>
            <w:vAlign w:val="center"/>
          </w:tcPr>
          <w:p>
            <w:pPr>
              <w:pStyle w:val="TableContents"/>
              <w:bidi w:val="0"/>
              <w:spacing w:before="0" w:after="283"/>
              <w:jc w:val="left"/>
              <w:rPr/>
            </w:pPr>
            <w:r>
              <w:rPr/>
              <w:t> </w:t>
            </w:r>
          </w:p>
        </w:tc>
        <w:tc>
          <w:tcPr>
            <w:tcW w:w="1017" w:type="dxa"/>
            <w:tcBorders/>
            <w:shd w:fill="CCEEFF" w:val="clear"/>
            <w:tcMar>
              <w:bottom w:w="0" w:type="dxa"/>
            </w:tcMar>
            <w:vAlign w:val="center"/>
          </w:tcPr>
          <w:p>
            <w:pPr>
              <w:pStyle w:val="TableContents"/>
              <w:bidi w:val="0"/>
              <w:spacing w:before="0" w:after="283"/>
              <w:jc w:val="right"/>
              <w:rPr/>
            </w:pPr>
            <w:r>
              <w:rPr/>
              <w:t>25,096</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56" w:type="dxa"/>
            <w:tcBorders/>
            <w:shd w:fill="CCEEFF" w:val="clear"/>
            <w:tcMar>
              <w:bottom w:w="0" w:type="dxa"/>
            </w:tcMar>
            <w:vAlign w:val="center"/>
          </w:tcPr>
          <w:p>
            <w:pPr>
              <w:pStyle w:val="TableContents"/>
              <w:bidi w:val="0"/>
              <w:spacing w:before="0" w:after="283"/>
              <w:jc w:val="center"/>
              <w:rPr/>
            </w:pPr>
            <w:r>
              <w:rPr/>
              <w:t>(b)</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25,096</w:t>
            </w:r>
          </w:p>
        </w:tc>
        <w:tc>
          <w:tcPr>
            <w:tcW w:w="112" w:type="dxa"/>
            <w:tcBorders/>
            <w:shd w:fill="CCEEFF" w:val="clear"/>
            <w:tcMar>
              <w:bottom w:w="0" w:type="dxa"/>
            </w:tcMar>
            <w:vAlign w:val="center"/>
          </w:tcPr>
          <w:p>
            <w:pPr>
              <w:pStyle w:val="TableContents"/>
              <w:bidi w:val="0"/>
              <w:spacing w:before="0" w:after="283"/>
              <w:jc w:val="left"/>
              <w:rPr/>
            </w:pPr>
            <w:r>
              <w:rPr/>
              <w:t> </w:t>
            </w:r>
          </w:p>
        </w:tc>
      </w:tr>
      <w:tr>
        <w:trPr/>
        <w:tc>
          <w:tcPr>
            <w:tcW w:w="2828" w:type="dxa"/>
            <w:tcBorders/>
            <w:shd w:fill="FFFFFF" w:val="clear"/>
            <w:tcMar>
              <w:bottom w:w="0" w:type="dxa"/>
            </w:tcMar>
            <w:vAlign w:val="center"/>
          </w:tcPr>
          <w:p>
            <w:pPr>
              <w:pStyle w:val="TableContents"/>
              <w:bidi w:val="0"/>
              <w:spacing w:before="0" w:after="283"/>
              <w:jc w:val="left"/>
              <w:rPr/>
            </w:pPr>
            <w:r>
              <w:rPr/>
              <w:t>Restricted cash</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74"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8" w:type="dxa"/>
            <w:tcBorders/>
            <w:shd w:fill="FFFFFF" w:val="clear"/>
            <w:tcMar>
              <w:bottom w:w="0" w:type="dxa"/>
            </w:tcMar>
            <w:vAlign w:val="center"/>
          </w:tcPr>
          <w:p>
            <w:pPr>
              <w:pStyle w:val="TableContents"/>
              <w:bidi w:val="0"/>
              <w:spacing w:before="0" w:after="283"/>
              <w:jc w:val="left"/>
              <w:rPr/>
            </w:pPr>
            <w:r>
              <w:rPr/>
              <w:t> </w:t>
            </w:r>
          </w:p>
        </w:tc>
        <w:tc>
          <w:tcPr>
            <w:tcW w:w="1017" w:type="dxa"/>
            <w:tcBorders/>
            <w:shd w:fill="FFFFFF" w:val="clear"/>
            <w:tcMar>
              <w:bottom w:w="0" w:type="dxa"/>
            </w:tcMar>
            <w:vAlign w:val="center"/>
          </w:tcPr>
          <w:p>
            <w:pPr>
              <w:pStyle w:val="TableContents"/>
              <w:bidi w:val="0"/>
              <w:spacing w:before="0" w:after="283"/>
              <w:jc w:val="right"/>
              <w:rPr/>
            </w:pPr>
            <w:r>
              <w:rPr/>
              <w:t>199</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56" w:type="dxa"/>
            <w:tcBorders/>
            <w:shd w:fill="FFFFFF" w:val="clear"/>
            <w:tcMar>
              <w:bottom w:w="0" w:type="dxa"/>
            </w:tcMar>
            <w:vAlign w:val="center"/>
          </w:tcPr>
          <w:p>
            <w:pPr>
              <w:pStyle w:val="TableContents"/>
              <w:bidi w:val="0"/>
              <w:spacing w:before="0" w:after="283"/>
              <w:jc w:val="center"/>
              <w:rPr/>
            </w:pPr>
            <w:r>
              <w:rPr/>
              <w:t>(b)</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199</w:t>
            </w:r>
          </w:p>
        </w:tc>
        <w:tc>
          <w:tcPr>
            <w:tcW w:w="112" w:type="dxa"/>
            <w:tcBorders/>
            <w:shd w:fill="FFFFFF" w:val="clear"/>
            <w:tcMar>
              <w:bottom w:w="0" w:type="dxa"/>
            </w:tcMar>
            <w:vAlign w:val="center"/>
          </w:tcPr>
          <w:p>
            <w:pPr>
              <w:pStyle w:val="TableContents"/>
              <w:bidi w:val="0"/>
              <w:spacing w:before="0" w:after="283"/>
              <w:jc w:val="left"/>
              <w:rPr/>
            </w:pPr>
            <w:r>
              <w:rPr/>
              <w:t> </w:t>
            </w:r>
          </w:p>
        </w:tc>
      </w:tr>
      <w:tr>
        <w:trPr/>
        <w:tc>
          <w:tcPr>
            <w:tcW w:w="2828" w:type="dxa"/>
            <w:tcBorders/>
            <w:shd w:fill="CCEEFF" w:val="clear"/>
            <w:tcMar>
              <w:bottom w:w="0" w:type="dxa"/>
            </w:tcMar>
            <w:vAlign w:val="center"/>
          </w:tcPr>
          <w:p>
            <w:pPr>
              <w:pStyle w:val="TableContents"/>
              <w:bidi w:val="0"/>
              <w:spacing w:before="0" w:after="283"/>
              <w:jc w:val="left"/>
              <w:rPr/>
            </w:pPr>
            <w:r>
              <w:rPr/>
              <w:t>Deferred income tax assets, net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74"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8" w:type="dxa"/>
            <w:tcBorders/>
            <w:shd w:fill="CCEEFF" w:val="clear"/>
            <w:tcMar>
              <w:bottom w:w="0" w:type="dxa"/>
            </w:tcMar>
            <w:vAlign w:val="center"/>
          </w:tcPr>
          <w:p>
            <w:pPr>
              <w:pStyle w:val="TableContents"/>
              <w:bidi w:val="0"/>
              <w:spacing w:before="0" w:after="283"/>
              <w:jc w:val="left"/>
              <w:rPr/>
            </w:pPr>
            <w:r>
              <w:rPr/>
              <w:t> </w:t>
            </w:r>
          </w:p>
        </w:tc>
        <w:tc>
          <w:tcPr>
            <w:tcW w:w="1017" w:type="dxa"/>
            <w:tcBorders/>
            <w:shd w:fill="CCEEFF" w:val="clear"/>
            <w:tcMar>
              <w:bottom w:w="0" w:type="dxa"/>
            </w:tcMar>
            <w:vAlign w:val="center"/>
          </w:tcPr>
          <w:p>
            <w:pPr>
              <w:pStyle w:val="TableContents"/>
              <w:bidi w:val="0"/>
              <w:spacing w:before="0" w:after="283"/>
              <w:jc w:val="right"/>
              <w:rPr/>
            </w:pPr>
            <w:r>
              <w:rPr/>
              <w:t>2,198</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56" w:type="dxa"/>
            <w:tcBorders/>
            <w:shd w:fill="CCEEFF" w:val="clear"/>
            <w:tcMar>
              <w:bottom w:w="0" w:type="dxa"/>
            </w:tcMar>
            <w:vAlign w:val="center"/>
          </w:tcPr>
          <w:p>
            <w:pPr>
              <w:pStyle w:val="TableContents"/>
              <w:bidi w:val="0"/>
              <w:spacing w:before="0" w:after="283"/>
              <w:jc w:val="center"/>
              <w:rPr/>
            </w:pPr>
            <w:r>
              <w:rPr/>
              <w:t>(b)</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2,198</w:t>
            </w:r>
          </w:p>
        </w:tc>
        <w:tc>
          <w:tcPr>
            <w:tcW w:w="112" w:type="dxa"/>
            <w:tcBorders/>
            <w:shd w:fill="CCEEFF" w:val="clear"/>
            <w:tcMar>
              <w:bottom w:w="0" w:type="dxa"/>
            </w:tcMar>
            <w:vAlign w:val="center"/>
          </w:tcPr>
          <w:p>
            <w:pPr>
              <w:pStyle w:val="TableContents"/>
              <w:bidi w:val="0"/>
              <w:spacing w:before="0" w:after="283"/>
              <w:jc w:val="left"/>
              <w:rPr/>
            </w:pPr>
            <w:r>
              <w:rPr/>
              <w:t> </w:t>
            </w:r>
          </w:p>
        </w:tc>
      </w:tr>
      <w:tr>
        <w:trPr/>
        <w:tc>
          <w:tcPr>
            <w:tcW w:w="2828" w:type="dxa"/>
            <w:tcBorders/>
            <w:shd w:fill="FFFFFF" w:val="clear"/>
            <w:tcMar>
              <w:bottom w:w="0" w:type="dxa"/>
            </w:tcMar>
            <w:vAlign w:val="center"/>
          </w:tcPr>
          <w:p>
            <w:pPr>
              <w:pStyle w:val="TableContents"/>
              <w:bidi w:val="0"/>
              <w:spacing w:before="0" w:after="283"/>
              <w:jc w:val="left"/>
              <w:rPr/>
            </w:pPr>
            <w:r>
              <w:rPr/>
              <w:t>Other non-current assets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74" w:type="dxa"/>
            <w:tcBorders/>
            <w:shd w:fill="FFFFFF" w:val="clear"/>
            <w:tcMar>
              <w:bottom w:w="0" w:type="dxa"/>
            </w:tcMar>
            <w:vAlign w:val="center"/>
          </w:tcPr>
          <w:p>
            <w:pPr>
              <w:pStyle w:val="TableContents"/>
              <w:bidi w:val="0"/>
              <w:spacing w:before="0" w:after="283"/>
              <w:jc w:val="left"/>
              <w:rPr/>
            </w:pPr>
            <w:r>
              <w:rPr/>
              <w:t>Other assets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41,890</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8" w:type="dxa"/>
            <w:tcBorders/>
            <w:shd w:fill="FFFFFF" w:val="clear"/>
            <w:tcMar>
              <w:bottom w:w="0" w:type="dxa"/>
            </w:tcMar>
            <w:vAlign w:val="center"/>
          </w:tcPr>
          <w:p>
            <w:pPr>
              <w:pStyle w:val="TableContents"/>
              <w:bidi w:val="0"/>
              <w:spacing w:before="0" w:after="283"/>
              <w:jc w:val="left"/>
              <w:rPr/>
            </w:pPr>
            <w:r>
              <w:rPr/>
              <w:t> </w:t>
            </w:r>
          </w:p>
        </w:tc>
        <w:tc>
          <w:tcPr>
            <w:tcW w:w="1017" w:type="dxa"/>
            <w:tcBorders/>
            <w:shd w:fill="FFFFFF" w:val="clear"/>
            <w:tcMar>
              <w:bottom w:w="0" w:type="dxa"/>
            </w:tcMar>
            <w:vAlign w:val="center"/>
          </w:tcPr>
          <w:p>
            <w:pPr>
              <w:pStyle w:val="TableContents"/>
              <w:bidi w:val="0"/>
              <w:spacing w:before="0" w:after="283"/>
              <w:jc w:val="right"/>
              <w:rPr/>
            </w:pPr>
            <w:r>
              <w:rPr/>
              <w:t>10,018</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56" w:type="dxa"/>
            <w:tcBorders/>
            <w:shd w:fill="FFFFFF" w:val="clear"/>
            <w:tcMar>
              <w:bottom w:w="0" w:type="dxa"/>
            </w:tcMar>
            <w:vAlign w:val="center"/>
          </w:tcPr>
          <w:p>
            <w:pPr>
              <w:pStyle w:val="TableContents"/>
              <w:bidi w:val="0"/>
              <w:spacing w:before="0" w:after="283"/>
              <w:jc w:val="center"/>
              <w:rPr/>
            </w:pPr>
            <w:r>
              <w:rPr/>
              <w:t>(b) (c)</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51,908</w:t>
            </w:r>
          </w:p>
        </w:tc>
        <w:tc>
          <w:tcPr>
            <w:tcW w:w="112" w:type="dxa"/>
            <w:tcBorders/>
            <w:shd w:fill="FFFFFF" w:val="clear"/>
            <w:tcMar>
              <w:bottom w:w="0" w:type="dxa"/>
            </w:tcMar>
            <w:vAlign w:val="center"/>
          </w:tcPr>
          <w:p>
            <w:pPr>
              <w:pStyle w:val="TableContents"/>
              <w:bidi w:val="0"/>
              <w:spacing w:before="0" w:after="283"/>
              <w:jc w:val="left"/>
              <w:rPr/>
            </w:pPr>
            <w:r>
              <w:rPr/>
              <w:t> </w:t>
            </w:r>
          </w:p>
        </w:tc>
      </w:tr>
      <w:tr>
        <w:trPr/>
        <w:tc>
          <w:tcPr>
            <w:tcW w:w="2828"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74" w:type="dxa"/>
            <w:tcBorders/>
            <w:shd w:fill="CCEEFF" w:val="clear"/>
            <w:tcMar>
              <w:bottom w:w="0" w:type="dxa"/>
            </w:tcMar>
            <w:vAlign w:val="center"/>
          </w:tcPr>
          <w:p>
            <w:pPr>
              <w:pStyle w:val="TableContents"/>
              <w:bidi w:val="0"/>
              <w:spacing w:before="0" w:after="283"/>
              <w:jc w:val="left"/>
              <w:rPr/>
            </w:pPr>
            <w:r>
              <w:rPr/>
              <w:t>Equity method investments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37,511</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8" w:type="dxa"/>
            <w:tcBorders/>
            <w:shd w:fill="CCEEFF" w:val="clear"/>
            <w:tcMar>
              <w:bottom w:w="0" w:type="dxa"/>
            </w:tcMar>
            <w:vAlign w:val="center"/>
          </w:tcPr>
          <w:p>
            <w:pPr>
              <w:pStyle w:val="TableContents"/>
              <w:bidi w:val="0"/>
              <w:spacing w:before="0" w:after="283"/>
              <w:jc w:val="left"/>
              <w:rPr/>
            </w:pPr>
            <w:r>
              <w:rPr/>
              <w:t> </w:t>
            </w:r>
          </w:p>
        </w:tc>
        <w:tc>
          <w:tcPr>
            <w:tcW w:w="1017" w:type="dxa"/>
            <w:tcBorders/>
            <w:shd w:fill="CCEEFF" w:val="clear"/>
            <w:tcMar>
              <w:bottom w:w="0" w:type="dxa"/>
            </w:tcMar>
            <w:vAlign w:val="center"/>
          </w:tcPr>
          <w:p>
            <w:pPr>
              <w:pStyle w:val="TableContents"/>
              <w:bidi w:val="0"/>
              <w:spacing w:before="0" w:after="283"/>
              <w:jc w:val="right"/>
              <w:rPr/>
            </w:pPr>
            <w:r>
              <w:rPr/>
              <w:t>(37,511</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456" w:type="dxa"/>
            <w:tcBorders/>
            <w:shd w:fill="CCEEFF" w:val="clear"/>
            <w:tcMar>
              <w:bottom w:w="0" w:type="dxa"/>
            </w:tcMar>
            <w:vAlign w:val="center"/>
          </w:tcPr>
          <w:p>
            <w:pPr>
              <w:pStyle w:val="TableContents"/>
              <w:bidi w:val="0"/>
              <w:spacing w:before="0" w:after="283"/>
              <w:jc w:val="center"/>
              <w:rPr/>
            </w:pPr>
            <w:r>
              <w:rPr/>
              <w:t>(c)</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w:t>
            </w:r>
          </w:p>
        </w:tc>
        <w:tc>
          <w:tcPr>
            <w:tcW w:w="112" w:type="dxa"/>
            <w:tcBorders/>
            <w:shd w:fill="CCEEFF" w:val="clear"/>
            <w:tcMar>
              <w:bottom w:w="0" w:type="dxa"/>
            </w:tcMar>
            <w:vAlign w:val="center"/>
          </w:tcPr>
          <w:p>
            <w:pPr>
              <w:pStyle w:val="TableContents"/>
              <w:bidi w:val="0"/>
              <w:spacing w:before="0" w:after="283"/>
              <w:jc w:val="left"/>
              <w:rPr/>
            </w:pPr>
            <w:r>
              <w:rPr/>
              <w:t> </w:t>
            </w:r>
          </w:p>
        </w:tc>
      </w:tr>
      <w:tr>
        <w:trPr/>
        <w:tc>
          <w:tcPr>
            <w:tcW w:w="2828" w:type="dxa"/>
            <w:tcBorders/>
            <w:shd w:fill="FFFFFF" w:val="clear"/>
            <w:tcMar>
              <w:bottom w:w="0" w:type="dxa"/>
            </w:tcMar>
            <w:vAlign w:val="center"/>
          </w:tcPr>
          <w:p>
            <w:pPr>
              <w:pStyle w:val="TableContents"/>
              <w:bidi w:val="0"/>
              <w:spacing w:before="0" w:after="283"/>
              <w:jc w:val="left"/>
              <w:rPr/>
            </w:pPr>
            <w:r>
              <w:rPr/>
              <w:t>Trade payables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74" w:type="dxa"/>
            <w:tcBorders/>
            <w:shd w:fill="FFFFFF" w:val="clear"/>
            <w:tcMar>
              <w:bottom w:w="0" w:type="dxa"/>
            </w:tcMar>
            <w:vAlign w:val="center"/>
          </w:tcPr>
          <w:p>
            <w:pPr>
              <w:pStyle w:val="TableContents"/>
              <w:bidi w:val="0"/>
              <w:spacing w:before="0" w:after="283"/>
              <w:jc w:val="left"/>
              <w:rPr/>
            </w:pPr>
            <w:r>
              <w:rPr/>
              <w:t>Accounts payable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11,521</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8" w:type="dxa"/>
            <w:tcBorders/>
            <w:shd w:fill="FFFFFF" w:val="clear"/>
            <w:tcMar>
              <w:bottom w:w="0" w:type="dxa"/>
            </w:tcMar>
            <w:vAlign w:val="center"/>
          </w:tcPr>
          <w:p>
            <w:pPr>
              <w:pStyle w:val="TableContents"/>
              <w:bidi w:val="0"/>
              <w:spacing w:before="0" w:after="283"/>
              <w:jc w:val="left"/>
              <w:rPr/>
            </w:pPr>
            <w:r>
              <w:rPr/>
              <w:t> </w:t>
            </w:r>
          </w:p>
        </w:tc>
        <w:tc>
          <w:tcPr>
            <w:tcW w:w="1017" w:type="dxa"/>
            <w:tcBorders/>
            <w:shd w:fill="FFFFFF" w:val="clear"/>
            <w:tcMar>
              <w:bottom w:w="0" w:type="dxa"/>
            </w:tcMar>
            <w:vAlign w:val="center"/>
          </w:tcPr>
          <w:p>
            <w:pPr>
              <w:pStyle w:val="TableContents"/>
              <w:bidi w:val="0"/>
              <w:spacing w:before="0" w:after="283"/>
              <w:jc w:val="right"/>
              <w:rPr/>
            </w:pPr>
            <w:r>
              <w:rPr/>
              <w:t>16,939</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56" w:type="dxa"/>
            <w:tcBorders/>
            <w:shd w:fill="FFFFFF" w:val="clear"/>
            <w:tcMar>
              <w:bottom w:w="0" w:type="dxa"/>
            </w:tcMar>
            <w:vAlign w:val="center"/>
          </w:tcPr>
          <w:p>
            <w:pPr>
              <w:pStyle w:val="TableContents"/>
              <w:bidi w:val="0"/>
              <w:spacing w:before="0" w:after="283"/>
              <w:jc w:val="center"/>
              <w:rPr/>
            </w:pPr>
            <w:r>
              <w:rPr/>
              <w: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28,460</w:t>
            </w:r>
          </w:p>
        </w:tc>
        <w:tc>
          <w:tcPr>
            <w:tcW w:w="112" w:type="dxa"/>
            <w:tcBorders/>
            <w:shd w:fill="FFFFFF" w:val="clear"/>
            <w:tcMar>
              <w:bottom w:w="0" w:type="dxa"/>
            </w:tcMar>
            <w:vAlign w:val="center"/>
          </w:tcPr>
          <w:p>
            <w:pPr>
              <w:pStyle w:val="TableContents"/>
              <w:bidi w:val="0"/>
              <w:spacing w:before="0" w:after="283"/>
              <w:jc w:val="left"/>
              <w:rPr/>
            </w:pPr>
            <w:r>
              <w:rPr/>
              <w:t> </w:t>
            </w:r>
          </w:p>
        </w:tc>
      </w:tr>
      <w:tr>
        <w:trPr/>
        <w:tc>
          <w:tcPr>
            <w:tcW w:w="2828" w:type="dxa"/>
            <w:tcBorders/>
            <w:shd w:fill="CCEEFF" w:val="clear"/>
            <w:tcMar>
              <w:bottom w:w="0" w:type="dxa"/>
            </w:tcMar>
            <w:vAlign w:val="center"/>
          </w:tcPr>
          <w:p>
            <w:pPr>
              <w:pStyle w:val="TableContents"/>
              <w:bidi w:val="0"/>
              <w:spacing w:before="0" w:after="283"/>
              <w:jc w:val="left"/>
              <w:rPr/>
            </w:pPr>
            <w:r>
              <w:rPr/>
              <w:t>Accrued expenses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74" w:type="dxa"/>
            <w:tcBorders/>
            <w:shd w:fill="CCEEFF" w:val="clear"/>
            <w:tcMar>
              <w:bottom w:w="0" w:type="dxa"/>
            </w:tcMar>
            <w:vAlign w:val="center"/>
          </w:tcPr>
          <w:p>
            <w:pPr>
              <w:pStyle w:val="TableContents"/>
              <w:bidi w:val="0"/>
              <w:spacing w:before="0" w:after="283"/>
              <w:jc w:val="left"/>
              <w:rPr/>
            </w:pPr>
            <w:r>
              <w:rPr/>
              <w:t>Accrued expenses and other current liabilities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74,260</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8" w:type="dxa"/>
            <w:tcBorders/>
            <w:shd w:fill="CCEEFF" w:val="clear"/>
            <w:tcMar>
              <w:bottom w:w="0" w:type="dxa"/>
            </w:tcMar>
            <w:vAlign w:val="center"/>
          </w:tcPr>
          <w:p>
            <w:pPr>
              <w:pStyle w:val="TableContents"/>
              <w:bidi w:val="0"/>
              <w:spacing w:before="0" w:after="283"/>
              <w:jc w:val="left"/>
              <w:rPr/>
            </w:pPr>
            <w:r>
              <w:rPr/>
              <w:t> </w:t>
            </w:r>
          </w:p>
        </w:tc>
        <w:tc>
          <w:tcPr>
            <w:tcW w:w="1017" w:type="dxa"/>
            <w:tcBorders/>
            <w:shd w:fill="CCEEFF" w:val="clear"/>
            <w:tcMar>
              <w:bottom w:w="0" w:type="dxa"/>
            </w:tcMar>
            <w:vAlign w:val="center"/>
          </w:tcPr>
          <w:p>
            <w:pPr>
              <w:pStyle w:val="TableContents"/>
              <w:bidi w:val="0"/>
              <w:spacing w:before="0" w:after="283"/>
              <w:jc w:val="right"/>
              <w:rPr/>
            </w:pPr>
            <w:r>
              <w:rPr/>
              <w:t>(73,969</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456" w:type="dxa"/>
            <w:tcBorders/>
            <w:shd w:fill="CCEEFF" w:val="clear"/>
            <w:tcMar>
              <w:bottom w:w="0" w:type="dxa"/>
            </w:tcMar>
            <w:vAlign w:val="center"/>
          </w:tcPr>
          <w:p>
            <w:pPr>
              <w:pStyle w:val="TableContents"/>
              <w:bidi w:val="0"/>
              <w:spacing w:before="0" w:after="283"/>
              <w:jc w:val="center"/>
              <w:rPr/>
            </w:pPr>
            <w:r>
              <w:rPr/>
              <w: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291</w:t>
            </w:r>
          </w:p>
        </w:tc>
        <w:tc>
          <w:tcPr>
            <w:tcW w:w="112" w:type="dxa"/>
            <w:tcBorders/>
            <w:shd w:fill="CCEEFF" w:val="clear"/>
            <w:tcMar>
              <w:bottom w:w="0" w:type="dxa"/>
            </w:tcMar>
            <w:vAlign w:val="center"/>
          </w:tcPr>
          <w:p>
            <w:pPr>
              <w:pStyle w:val="TableContents"/>
              <w:bidi w:val="0"/>
              <w:spacing w:before="0" w:after="283"/>
              <w:jc w:val="left"/>
              <w:rPr/>
            </w:pPr>
            <w:r>
              <w:rPr/>
              <w:t> </w:t>
            </w:r>
          </w:p>
        </w:tc>
      </w:tr>
      <w:tr>
        <w:trPr/>
        <w:tc>
          <w:tcPr>
            <w:tcW w:w="2828" w:type="dxa"/>
            <w:tcBorders/>
            <w:shd w:fill="FFFFFF" w:val="clear"/>
            <w:tcMar>
              <w:bottom w:w="0" w:type="dxa"/>
            </w:tcMar>
            <w:vAlign w:val="center"/>
          </w:tcPr>
          <w:p>
            <w:pPr>
              <w:pStyle w:val="TableContents"/>
              <w:bidi w:val="0"/>
              <w:spacing w:before="0" w:after="283"/>
              <w:jc w:val="left"/>
              <w:rPr/>
            </w:pPr>
            <w:r>
              <w:rPr/>
              <w:t>Employee benefits payable</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74"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8" w:type="dxa"/>
            <w:tcBorders/>
            <w:shd w:fill="FFFFFF" w:val="clear"/>
            <w:tcMar>
              <w:bottom w:w="0" w:type="dxa"/>
            </w:tcMar>
            <w:vAlign w:val="center"/>
          </w:tcPr>
          <w:p>
            <w:pPr>
              <w:pStyle w:val="TableContents"/>
              <w:bidi w:val="0"/>
              <w:spacing w:before="0" w:after="283"/>
              <w:jc w:val="left"/>
              <w:rPr/>
            </w:pPr>
            <w:r>
              <w:rPr/>
              <w:t> </w:t>
            </w:r>
          </w:p>
        </w:tc>
        <w:tc>
          <w:tcPr>
            <w:tcW w:w="1017" w:type="dxa"/>
            <w:tcBorders/>
            <w:shd w:fill="FFFFFF" w:val="clear"/>
            <w:tcMar>
              <w:bottom w:w="0" w:type="dxa"/>
            </w:tcMar>
            <w:vAlign w:val="center"/>
          </w:tcPr>
          <w:p>
            <w:pPr>
              <w:pStyle w:val="TableContents"/>
              <w:bidi w:val="0"/>
              <w:spacing w:before="0" w:after="283"/>
              <w:jc w:val="right"/>
              <w:rPr/>
            </w:pPr>
            <w:r>
              <w:rPr/>
              <w:t>32,685</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56" w:type="dxa"/>
            <w:tcBorders/>
            <w:shd w:fill="FFFFFF" w:val="clear"/>
            <w:tcMar>
              <w:bottom w:w="0" w:type="dxa"/>
            </w:tcMar>
            <w:vAlign w:val="center"/>
          </w:tcPr>
          <w:p>
            <w:pPr>
              <w:pStyle w:val="TableContents"/>
              <w:bidi w:val="0"/>
              <w:spacing w:before="0" w:after="283"/>
              <w:jc w:val="center"/>
              <w:rPr/>
            </w:pPr>
            <w:r>
              <w:rPr/>
              <w: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32,685</w:t>
            </w:r>
          </w:p>
        </w:tc>
        <w:tc>
          <w:tcPr>
            <w:tcW w:w="112" w:type="dxa"/>
            <w:tcBorders/>
            <w:shd w:fill="FFFFFF" w:val="clear"/>
            <w:tcMar>
              <w:bottom w:w="0" w:type="dxa"/>
            </w:tcMar>
            <w:vAlign w:val="center"/>
          </w:tcPr>
          <w:p>
            <w:pPr>
              <w:pStyle w:val="TableContents"/>
              <w:bidi w:val="0"/>
              <w:spacing w:before="0" w:after="283"/>
              <w:jc w:val="left"/>
              <w:rPr/>
            </w:pPr>
            <w:r>
              <w:rPr/>
              <w:t> </w:t>
            </w:r>
          </w:p>
        </w:tc>
      </w:tr>
      <w:tr>
        <w:trPr/>
        <w:tc>
          <w:tcPr>
            <w:tcW w:w="2828" w:type="dxa"/>
            <w:tcBorders/>
            <w:shd w:fill="CCEEFF" w:val="clear"/>
            <w:tcMar>
              <w:bottom w:w="0" w:type="dxa"/>
            </w:tcMar>
            <w:vAlign w:val="center"/>
          </w:tcPr>
          <w:p>
            <w:pPr>
              <w:pStyle w:val="TableContents"/>
              <w:bidi w:val="0"/>
              <w:spacing w:before="0" w:after="283"/>
              <w:jc w:val="left"/>
              <w:rPr/>
            </w:pPr>
            <w:r>
              <w:rPr/>
              <w:t>Contract liabilities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74" w:type="dxa"/>
            <w:tcBorders/>
            <w:shd w:fill="CCEEFF" w:val="clear"/>
            <w:tcMar>
              <w:bottom w:w="0" w:type="dxa"/>
            </w:tcMar>
            <w:vAlign w:val="center"/>
          </w:tcPr>
          <w:p>
            <w:pPr>
              <w:pStyle w:val="TableContents"/>
              <w:bidi w:val="0"/>
              <w:spacing w:before="0" w:after="283"/>
              <w:jc w:val="left"/>
              <w:rPr/>
            </w:pPr>
            <w:r>
              <w:rPr/>
              <w:t>Deferred revenue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37,222</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8" w:type="dxa"/>
            <w:tcBorders/>
            <w:shd w:fill="CCEEFF" w:val="clear"/>
            <w:tcMar>
              <w:bottom w:w="0" w:type="dxa"/>
            </w:tcMar>
            <w:vAlign w:val="center"/>
          </w:tcPr>
          <w:p>
            <w:pPr>
              <w:pStyle w:val="TableContents"/>
              <w:bidi w:val="0"/>
              <w:spacing w:before="0" w:after="283"/>
              <w:jc w:val="left"/>
              <w:rPr/>
            </w:pPr>
            <w:r>
              <w:rPr/>
              <w:t> </w:t>
            </w:r>
          </w:p>
        </w:tc>
        <w:tc>
          <w:tcPr>
            <w:tcW w:w="1017" w:type="dxa"/>
            <w:tcBorders/>
            <w:shd w:fill="CCEEFF" w:val="clear"/>
            <w:tcMar>
              <w:bottom w:w="0" w:type="dxa"/>
            </w:tcMar>
            <w:vAlign w:val="center"/>
          </w:tcPr>
          <w:p>
            <w:pPr>
              <w:pStyle w:val="TableContents"/>
              <w:bidi w:val="0"/>
              <w:spacing w:before="0" w:after="283"/>
              <w:jc w:val="right"/>
              <w:rPr/>
            </w:pPr>
            <w:r>
              <w:rPr/>
              <w:t>41,959</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56" w:type="dxa"/>
            <w:tcBorders/>
            <w:shd w:fill="CCEEFF" w:val="clear"/>
            <w:tcMar>
              <w:bottom w:w="0" w:type="dxa"/>
            </w:tcMar>
            <w:vAlign w:val="center"/>
          </w:tcPr>
          <w:p>
            <w:pPr>
              <w:pStyle w:val="TableContents"/>
              <w:bidi w:val="0"/>
              <w:spacing w:before="0" w:after="283"/>
              <w:jc w:val="center"/>
              <w:rPr/>
            </w:pPr>
            <w:r>
              <w:rPr/>
              <w:t>(e)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79,181</w:t>
            </w:r>
          </w:p>
        </w:tc>
        <w:tc>
          <w:tcPr>
            <w:tcW w:w="112" w:type="dxa"/>
            <w:tcBorders/>
            <w:shd w:fill="CCEEFF" w:val="clear"/>
            <w:tcMar>
              <w:bottom w:w="0" w:type="dxa"/>
            </w:tcMar>
            <w:vAlign w:val="center"/>
          </w:tcPr>
          <w:p>
            <w:pPr>
              <w:pStyle w:val="TableContents"/>
              <w:bidi w:val="0"/>
              <w:spacing w:before="0" w:after="283"/>
              <w:jc w:val="left"/>
              <w:rPr/>
            </w:pPr>
            <w:r>
              <w:rPr/>
              <w:t> </w:t>
            </w:r>
          </w:p>
        </w:tc>
      </w:tr>
      <w:tr>
        <w:trPr/>
        <w:tc>
          <w:tcPr>
            <w:tcW w:w="2828" w:type="dxa"/>
            <w:tcBorders/>
            <w:shd w:fill="FFFFFF" w:val="clear"/>
            <w:tcMar>
              <w:bottom w:w="0" w:type="dxa"/>
            </w:tcMar>
            <w:vAlign w:val="center"/>
          </w:tcPr>
          <w:p>
            <w:pPr>
              <w:pStyle w:val="TableContents"/>
              <w:bidi w:val="0"/>
              <w:spacing w:before="0" w:after="283"/>
              <w:jc w:val="left"/>
              <w:rPr/>
            </w:pPr>
            <w:r>
              <w:rPr/>
              <w:t>Current installments of long-term borrowings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74" w:type="dxa"/>
            <w:tcBorders/>
            <w:shd w:fill="FFFFFF" w:val="clear"/>
            <w:tcMar>
              <w:bottom w:w="0" w:type="dxa"/>
            </w:tcMar>
            <w:vAlign w:val="center"/>
          </w:tcPr>
          <w:p>
            <w:pPr>
              <w:pStyle w:val="TableContents"/>
              <w:bidi w:val="0"/>
              <w:spacing w:before="0" w:after="283"/>
              <w:jc w:val="left"/>
              <w:rPr/>
            </w:pPr>
            <w:r>
              <w:rPr/>
              <w:t>Short-term secured debt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12,532</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8" w:type="dxa"/>
            <w:tcBorders/>
            <w:shd w:fill="FFFFFF" w:val="clear"/>
            <w:tcMar>
              <w:bottom w:w="0" w:type="dxa"/>
            </w:tcMar>
            <w:vAlign w:val="center"/>
          </w:tcPr>
          <w:p>
            <w:pPr>
              <w:pStyle w:val="TableContents"/>
              <w:bidi w:val="0"/>
              <w:spacing w:before="0" w:after="283"/>
              <w:jc w:val="left"/>
              <w:rPr/>
            </w:pPr>
            <w:r>
              <w:rPr/>
              <w:t> </w:t>
            </w:r>
          </w:p>
        </w:tc>
        <w:tc>
          <w:tcPr>
            <w:tcW w:w="1017"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56"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12,532</w:t>
            </w:r>
          </w:p>
        </w:tc>
        <w:tc>
          <w:tcPr>
            <w:tcW w:w="112" w:type="dxa"/>
            <w:tcBorders/>
            <w:shd w:fill="FFFFFF" w:val="clear"/>
            <w:tcMar>
              <w:bottom w:w="0" w:type="dxa"/>
            </w:tcMar>
            <w:vAlign w:val="center"/>
          </w:tcPr>
          <w:p>
            <w:pPr>
              <w:pStyle w:val="TableContents"/>
              <w:bidi w:val="0"/>
              <w:spacing w:before="0" w:after="283"/>
              <w:jc w:val="left"/>
              <w:rPr/>
            </w:pPr>
            <w:r>
              <w:rPr/>
              <w:t> </w:t>
            </w:r>
          </w:p>
        </w:tc>
      </w:tr>
      <w:tr>
        <w:trPr/>
        <w:tc>
          <w:tcPr>
            <w:tcW w:w="2828" w:type="dxa"/>
            <w:tcBorders/>
            <w:shd w:fill="CCEEFF" w:val="clear"/>
            <w:tcMar>
              <w:bottom w:w="0" w:type="dxa"/>
            </w:tcMar>
            <w:vAlign w:val="center"/>
          </w:tcPr>
          <w:p>
            <w:pPr>
              <w:pStyle w:val="TableContents"/>
              <w:bidi w:val="0"/>
              <w:spacing w:before="0" w:after="283"/>
              <w:jc w:val="left"/>
              <w:rPr/>
            </w:pPr>
            <w:r>
              <w:rPr/>
              <w:t>Other current liabilities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74"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8" w:type="dxa"/>
            <w:tcBorders/>
            <w:shd w:fill="CCEEFF" w:val="clear"/>
            <w:tcMar>
              <w:bottom w:w="0" w:type="dxa"/>
            </w:tcMar>
            <w:vAlign w:val="center"/>
          </w:tcPr>
          <w:p>
            <w:pPr>
              <w:pStyle w:val="TableContents"/>
              <w:bidi w:val="0"/>
              <w:spacing w:before="0" w:after="283"/>
              <w:jc w:val="left"/>
              <w:rPr/>
            </w:pPr>
            <w:r>
              <w:rPr/>
              <w:t> </w:t>
            </w:r>
          </w:p>
        </w:tc>
        <w:tc>
          <w:tcPr>
            <w:tcW w:w="1017" w:type="dxa"/>
            <w:tcBorders/>
            <w:shd w:fill="CCEEFF" w:val="clear"/>
            <w:tcMar>
              <w:bottom w:w="0" w:type="dxa"/>
            </w:tcMar>
            <w:vAlign w:val="center"/>
          </w:tcPr>
          <w:p>
            <w:pPr>
              <w:pStyle w:val="TableContents"/>
              <w:bidi w:val="0"/>
              <w:spacing w:before="0" w:after="283"/>
              <w:jc w:val="right"/>
              <w:rPr/>
            </w:pPr>
            <w:r>
              <w:rPr/>
              <w:t>24,345</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56" w:type="dxa"/>
            <w:tcBorders/>
            <w:shd w:fill="CCEEFF" w:val="clear"/>
            <w:tcMar>
              <w:bottom w:w="0" w:type="dxa"/>
            </w:tcMar>
            <w:vAlign w:val="center"/>
          </w:tcPr>
          <w:p>
            <w:pPr>
              <w:pStyle w:val="TableContents"/>
              <w:bidi w:val="0"/>
              <w:spacing w:before="0" w:after="283"/>
              <w:jc w:val="center"/>
              <w:rPr/>
            </w:pPr>
            <w:r>
              <w:rPr/>
              <w: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24,345</w:t>
            </w:r>
          </w:p>
        </w:tc>
        <w:tc>
          <w:tcPr>
            <w:tcW w:w="112" w:type="dxa"/>
            <w:tcBorders/>
            <w:shd w:fill="CCEEFF" w:val="clear"/>
            <w:tcMar>
              <w:bottom w:w="0" w:type="dxa"/>
            </w:tcMar>
            <w:vAlign w:val="center"/>
          </w:tcPr>
          <w:p>
            <w:pPr>
              <w:pStyle w:val="TableContents"/>
              <w:bidi w:val="0"/>
              <w:spacing w:before="0" w:after="283"/>
              <w:jc w:val="left"/>
              <w:rPr/>
            </w:pPr>
            <w:r>
              <w:rPr/>
              <w:t> </w:t>
            </w:r>
          </w:p>
        </w:tc>
      </w:tr>
      <w:tr>
        <w:trPr/>
        <w:tc>
          <w:tcPr>
            <w:tcW w:w="2828" w:type="dxa"/>
            <w:tcBorders/>
            <w:shd w:fill="FFFFFF" w:val="clear"/>
            <w:tcMar>
              <w:bottom w:w="0" w:type="dxa"/>
            </w:tcMar>
            <w:vAlign w:val="center"/>
          </w:tcPr>
          <w:p>
            <w:pPr>
              <w:pStyle w:val="TableContents"/>
              <w:bidi w:val="0"/>
              <w:spacing w:before="0" w:after="283"/>
              <w:jc w:val="left"/>
              <w:rPr/>
            </w:pPr>
            <w:r>
              <w:rPr/>
              <w:t>Long-term borrowings, net excluding current installments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74" w:type="dxa"/>
            <w:tcBorders/>
            <w:shd w:fill="FFFFFF" w:val="clear"/>
            <w:tcMar>
              <w:bottom w:w="0" w:type="dxa"/>
            </w:tcMar>
            <w:vAlign w:val="center"/>
          </w:tcPr>
          <w:p>
            <w:pPr>
              <w:pStyle w:val="TableContents"/>
              <w:bidi w:val="0"/>
              <w:spacing w:before="0" w:after="283"/>
              <w:jc w:val="left"/>
              <w:rPr/>
            </w:pPr>
            <w:r>
              <w:rPr/>
              <w:t>Long-term secured debt, net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1,749,342</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8" w:type="dxa"/>
            <w:tcBorders/>
            <w:shd w:fill="FFFFFF" w:val="clear"/>
            <w:tcMar>
              <w:bottom w:w="0" w:type="dxa"/>
            </w:tcMar>
            <w:vAlign w:val="center"/>
          </w:tcPr>
          <w:p>
            <w:pPr>
              <w:pStyle w:val="TableContents"/>
              <w:bidi w:val="0"/>
              <w:spacing w:before="0" w:after="283"/>
              <w:jc w:val="left"/>
              <w:rPr/>
            </w:pPr>
            <w:r>
              <w:rPr/>
              <w:t> </w:t>
            </w:r>
          </w:p>
        </w:tc>
        <w:tc>
          <w:tcPr>
            <w:tcW w:w="1017"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56"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1,749,342</w:t>
            </w:r>
          </w:p>
        </w:tc>
        <w:tc>
          <w:tcPr>
            <w:tcW w:w="112" w:type="dxa"/>
            <w:tcBorders/>
            <w:shd w:fill="FFFFFF" w:val="clear"/>
            <w:tcMar>
              <w:bottom w:w="0" w:type="dxa"/>
            </w:tcMar>
            <w:vAlign w:val="center"/>
          </w:tcPr>
          <w:p>
            <w:pPr>
              <w:pStyle w:val="TableContents"/>
              <w:bidi w:val="0"/>
              <w:spacing w:before="0" w:after="283"/>
              <w:jc w:val="left"/>
              <w:rPr/>
            </w:pPr>
            <w:r>
              <w:rPr/>
              <w:t> </w:t>
            </w:r>
          </w:p>
        </w:tc>
      </w:tr>
      <w:tr>
        <w:trPr/>
        <w:tc>
          <w:tcPr>
            <w:tcW w:w="2828" w:type="dxa"/>
            <w:tcBorders/>
            <w:shd w:fill="CCEEFF" w:val="clear"/>
            <w:tcMar>
              <w:bottom w:w="0" w:type="dxa"/>
            </w:tcMar>
            <w:vAlign w:val="center"/>
          </w:tcPr>
          <w:p>
            <w:pPr>
              <w:pStyle w:val="TableContents"/>
              <w:bidi w:val="0"/>
              <w:spacing w:before="0" w:after="283"/>
              <w:jc w:val="left"/>
              <w:rPr/>
            </w:pPr>
            <w:r>
              <w:rPr/>
              <w:t>Non-current operating lease liabilities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74"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8" w:type="dxa"/>
            <w:tcBorders/>
            <w:shd w:fill="CCEEFF" w:val="clear"/>
            <w:tcMar>
              <w:bottom w:w="0" w:type="dxa"/>
            </w:tcMar>
            <w:vAlign w:val="center"/>
          </w:tcPr>
          <w:p>
            <w:pPr>
              <w:pStyle w:val="TableContents"/>
              <w:bidi w:val="0"/>
              <w:spacing w:before="0" w:after="283"/>
              <w:jc w:val="left"/>
              <w:rPr/>
            </w:pPr>
            <w:r>
              <w:rPr/>
              <w:t> </w:t>
            </w:r>
          </w:p>
        </w:tc>
        <w:tc>
          <w:tcPr>
            <w:tcW w:w="1017" w:type="dxa"/>
            <w:tcBorders/>
            <w:shd w:fill="CCEEFF" w:val="clear"/>
            <w:tcMar>
              <w:bottom w:w="0" w:type="dxa"/>
            </w:tcMar>
            <w:vAlign w:val="center"/>
          </w:tcPr>
          <w:p>
            <w:pPr>
              <w:pStyle w:val="TableContents"/>
              <w:bidi w:val="0"/>
              <w:spacing w:before="0" w:after="283"/>
              <w:jc w:val="right"/>
              <w:rPr/>
            </w:pPr>
            <w:r>
              <w:rPr/>
              <w:t>25,289</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56" w:type="dxa"/>
            <w:tcBorders/>
            <w:shd w:fill="CCEEFF" w:val="clear"/>
            <w:tcMar>
              <w:bottom w:w="0" w:type="dxa"/>
            </w:tcMar>
            <w:vAlign w:val="center"/>
          </w:tcPr>
          <w:p>
            <w:pPr>
              <w:pStyle w:val="TableContents"/>
              <w:bidi w:val="0"/>
              <w:spacing w:before="0" w:after="283"/>
              <w:jc w:val="center"/>
              <w:rPr/>
            </w:pPr>
            <w:r>
              <w:rPr/>
              <w:t>(f)</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25,289</w:t>
            </w:r>
          </w:p>
        </w:tc>
        <w:tc>
          <w:tcPr>
            <w:tcW w:w="112" w:type="dxa"/>
            <w:tcBorders/>
            <w:shd w:fill="CCEEFF" w:val="clear"/>
            <w:tcMar>
              <w:bottom w:w="0" w:type="dxa"/>
            </w:tcMar>
            <w:vAlign w:val="center"/>
          </w:tcPr>
          <w:p>
            <w:pPr>
              <w:pStyle w:val="TableContents"/>
              <w:bidi w:val="0"/>
              <w:spacing w:before="0" w:after="283"/>
              <w:jc w:val="left"/>
              <w:rPr/>
            </w:pPr>
            <w:r>
              <w:rPr/>
              <w:t> </w:t>
            </w:r>
          </w:p>
        </w:tc>
      </w:tr>
      <w:tr>
        <w:trPr/>
        <w:tc>
          <w:tcPr>
            <w:tcW w:w="2828" w:type="dxa"/>
            <w:tcBorders/>
            <w:shd w:fill="FFFFFF" w:val="clear"/>
            <w:tcMar>
              <w:bottom w:w="0" w:type="dxa"/>
            </w:tcMar>
            <w:vAlign w:val="center"/>
          </w:tcPr>
          <w:p>
            <w:pPr>
              <w:pStyle w:val="TableContents"/>
              <w:bidi w:val="0"/>
              <w:spacing w:before="0" w:after="283"/>
              <w:jc w:val="left"/>
              <w:rPr/>
            </w:pPr>
            <w:r>
              <w:rPr/>
              <w:t>Deferred tax liabilities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74" w:type="dxa"/>
            <w:tcBorders/>
            <w:shd w:fill="FFFFFF" w:val="clear"/>
            <w:tcMar>
              <w:bottom w:w="0" w:type="dxa"/>
            </w:tcMar>
            <w:vAlign w:val="center"/>
          </w:tcPr>
          <w:p>
            <w:pPr>
              <w:pStyle w:val="TableContents"/>
              <w:bidi w:val="0"/>
              <w:spacing w:before="0" w:after="283"/>
              <w:jc w:val="left"/>
              <w:rPr/>
            </w:pPr>
            <w:r>
              <w:rPr/>
              <w:t>Deferred income tax liabilities, net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138,424</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8" w:type="dxa"/>
            <w:tcBorders/>
            <w:shd w:fill="FFFFFF" w:val="clear"/>
            <w:tcMar>
              <w:bottom w:w="0" w:type="dxa"/>
            </w:tcMar>
            <w:vAlign w:val="center"/>
          </w:tcPr>
          <w:p>
            <w:pPr>
              <w:pStyle w:val="TableContents"/>
              <w:bidi w:val="0"/>
              <w:spacing w:before="0" w:after="283"/>
              <w:jc w:val="left"/>
              <w:rPr/>
            </w:pPr>
            <w:r>
              <w:rPr/>
              <w:t> </w:t>
            </w:r>
          </w:p>
        </w:tc>
        <w:tc>
          <w:tcPr>
            <w:tcW w:w="1017"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56"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138,424</w:t>
            </w:r>
          </w:p>
        </w:tc>
        <w:tc>
          <w:tcPr>
            <w:tcW w:w="112" w:type="dxa"/>
            <w:tcBorders/>
            <w:shd w:fill="FFFFFF" w:val="clear"/>
            <w:tcMar>
              <w:bottom w:w="0" w:type="dxa"/>
            </w:tcMar>
            <w:vAlign w:val="center"/>
          </w:tcPr>
          <w:p>
            <w:pPr>
              <w:pStyle w:val="TableContents"/>
              <w:bidi w:val="0"/>
              <w:spacing w:before="0" w:after="283"/>
              <w:jc w:val="left"/>
              <w:rPr/>
            </w:pPr>
            <w:r>
              <w:rPr/>
              <w:t> </w:t>
            </w:r>
          </w:p>
        </w:tc>
      </w:tr>
      <w:tr>
        <w:trPr/>
        <w:tc>
          <w:tcPr>
            <w:tcW w:w="2828"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74" w:type="dxa"/>
            <w:tcBorders/>
            <w:shd w:fill="CCEEFF" w:val="clear"/>
            <w:tcMar>
              <w:bottom w:w="0" w:type="dxa"/>
            </w:tcMar>
            <w:vAlign w:val="center"/>
          </w:tcPr>
          <w:p>
            <w:pPr>
              <w:pStyle w:val="TableContents"/>
              <w:bidi w:val="0"/>
              <w:spacing w:before="0" w:after="283"/>
              <w:jc w:val="left"/>
              <w:rPr/>
            </w:pPr>
            <w:r>
              <w:rPr/>
              <w:t>Deferred revenue, net of current portion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41,959</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8" w:type="dxa"/>
            <w:tcBorders/>
            <w:shd w:fill="CCEEFF" w:val="clear"/>
            <w:tcMar>
              <w:bottom w:w="0" w:type="dxa"/>
            </w:tcMar>
            <w:vAlign w:val="center"/>
          </w:tcPr>
          <w:p>
            <w:pPr>
              <w:pStyle w:val="TableContents"/>
              <w:bidi w:val="0"/>
              <w:spacing w:before="0" w:after="283"/>
              <w:jc w:val="left"/>
              <w:rPr/>
            </w:pPr>
            <w:r>
              <w:rPr/>
              <w:t> </w:t>
            </w:r>
          </w:p>
        </w:tc>
        <w:tc>
          <w:tcPr>
            <w:tcW w:w="1017" w:type="dxa"/>
            <w:tcBorders/>
            <w:shd w:fill="CCEEFF" w:val="clear"/>
            <w:tcMar>
              <w:bottom w:w="0" w:type="dxa"/>
            </w:tcMar>
            <w:vAlign w:val="center"/>
          </w:tcPr>
          <w:p>
            <w:pPr>
              <w:pStyle w:val="TableContents"/>
              <w:bidi w:val="0"/>
              <w:spacing w:before="0" w:after="283"/>
              <w:jc w:val="right"/>
              <w:rPr/>
            </w:pPr>
            <w:r>
              <w:rPr/>
              <w:t>(41,959</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456" w:type="dxa"/>
            <w:tcBorders/>
            <w:shd w:fill="CCEEFF" w:val="clear"/>
            <w:tcMar>
              <w:bottom w:w="0" w:type="dxa"/>
            </w:tcMar>
            <w:vAlign w:val="center"/>
          </w:tcPr>
          <w:p>
            <w:pPr>
              <w:pStyle w:val="TableContents"/>
              <w:bidi w:val="0"/>
              <w:spacing w:before="0" w:after="283"/>
              <w:jc w:val="center"/>
              <w:rPr/>
            </w:pPr>
            <w:r>
              <w:rPr/>
              <w:t>(e)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w:t>
            </w:r>
          </w:p>
        </w:tc>
        <w:tc>
          <w:tcPr>
            <w:tcW w:w="112" w:type="dxa"/>
            <w:tcBorders/>
            <w:shd w:fill="CCEEFF" w:val="clear"/>
            <w:tcMar>
              <w:bottom w:w="0" w:type="dxa"/>
            </w:tcMar>
            <w:vAlign w:val="center"/>
          </w:tcPr>
          <w:p>
            <w:pPr>
              <w:pStyle w:val="TableContents"/>
              <w:bidi w:val="0"/>
              <w:spacing w:before="0" w:after="283"/>
              <w:jc w:val="left"/>
              <w:rPr/>
            </w:pPr>
            <w:r>
              <w:rPr/>
              <w:t> </w:t>
            </w:r>
          </w:p>
        </w:tc>
      </w:tr>
      <w:tr>
        <w:trPr/>
        <w:tc>
          <w:tcPr>
            <w:tcW w:w="2828" w:type="dxa"/>
            <w:tcBorders/>
            <w:shd w:fill="FFFFFF" w:val="clear"/>
            <w:tcMar>
              <w:bottom w:w="0" w:type="dxa"/>
            </w:tcMar>
            <w:vAlign w:val="center"/>
          </w:tcPr>
          <w:p>
            <w:pPr>
              <w:pStyle w:val="TableContents"/>
              <w:bidi w:val="0"/>
              <w:spacing w:before="0" w:after="283"/>
              <w:jc w:val="left"/>
              <w:rPr/>
            </w:pPr>
            <w:r>
              <w:rPr/>
              <w:t>Other non-current liabilities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74" w:type="dxa"/>
            <w:tcBorders/>
            <w:shd w:fill="FFFFFF" w:val="clear"/>
            <w:tcMar>
              <w:bottom w:w="0" w:type="dxa"/>
            </w:tcMar>
            <w:vAlign w:val="center"/>
          </w:tcPr>
          <w:p>
            <w:pPr>
              <w:pStyle w:val="TableContents"/>
              <w:bidi w:val="0"/>
              <w:spacing w:before="0" w:after="283"/>
              <w:jc w:val="left"/>
              <w:rPr/>
            </w:pPr>
            <w:r>
              <w:rPr/>
              <w:t>Other long-term liabilities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27,322</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8" w:type="dxa"/>
            <w:tcBorders/>
            <w:shd w:fill="FFFFFF" w:val="clear"/>
            <w:tcMar>
              <w:bottom w:w="0" w:type="dxa"/>
            </w:tcMar>
            <w:vAlign w:val="center"/>
          </w:tcPr>
          <w:p>
            <w:pPr>
              <w:pStyle w:val="TableContents"/>
              <w:bidi w:val="0"/>
              <w:spacing w:before="0" w:after="283"/>
              <w:jc w:val="left"/>
              <w:rPr/>
            </w:pPr>
            <w:r>
              <w:rPr/>
              <w:t> </w:t>
            </w:r>
          </w:p>
        </w:tc>
        <w:tc>
          <w:tcPr>
            <w:tcW w:w="1017" w:type="dxa"/>
            <w:tcBorders/>
            <w:shd w:fill="FFFFFF" w:val="clear"/>
            <w:tcMar>
              <w:bottom w:w="0" w:type="dxa"/>
            </w:tcMar>
            <w:vAlign w:val="center"/>
          </w:tcPr>
          <w:p>
            <w:pPr>
              <w:pStyle w:val="TableContents"/>
              <w:bidi w:val="0"/>
              <w:spacing w:before="0" w:after="283"/>
              <w:jc w:val="right"/>
              <w:rPr/>
            </w:pPr>
            <w:r>
              <w:rPr/>
              <w:t>(25,289</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456" w:type="dxa"/>
            <w:tcBorders/>
            <w:shd w:fill="FFFFFF" w:val="clear"/>
            <w:tcMar>
              <w:bottom w:w="0" w:type="dxa"/>
            </w:tcMar>
            <w:vAlign w:val="center"/>
          </w:tcPr>
          <w:p>
            <w:pPr>
              <w:pStyle w:val="TableContents"/>
              <w:bidi w:val="0"/>
              <w:spacing w:before="0" w:after="283"/>
              <w:jc w:val="center"/>
              <w:rPr/>
            </w:pPr>
            <w:r>
              <w:rPr/>
              <w:t>(f)</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2,033</w:t>
            </w:r>
          </w:p>
        </w:tc>
        <w:tc>
          <w:tcPr>
            <w:tcW w:w="112" w:type="dxa"/>
            <w:tcBorders/>
            <w:shd w:fill="FFFFFF" w:val="clear"/>
            <w:tcMar>
              <w:bottom w:w="0" w:type="dxa"/>
            </w:tcMar>
            <w:vAlign w:val="center"/>
          </w:tcPr>
          <w:p>
            <w:pPr>
              <w:pStyle w:val="TableContents"/>
              <w:bidi w:val="0"/>
              <w:spacing w:before="0" w:after="283"/>
              <w:jc w:val="left"/>
              <w:rPr/>
            </w:pPr>
            <w:r>
              <w:rPr/>
              <w:t> </w:t>
            </w:r>
          </w:p>
        </w:tc>
      </w:tr>
      <w:tr>
        <w:trPr/>
        <w:tc>
          <w:tcPr>
            <w:tcW w:w="2828" w:type="dxa"/>
            <w:tcBorders/>
            <w:shd w:fill="CCEEFF" w:val="clear"/>
            <w:tcMar>
              <w:bottom w:w="0" w:type="dxa"/>
            </w:tcMar>
            <w:vAlign w:val="center"/>
          </w:tcPr>
          <w:p>
            <w:pPr>
              <w:pStyle w:val="TableContents"/>
              <w:bidi w:val="0"/>
              <w:spacing w:before="0" w:after="283"/>
              <w:jc w:val="left"/>
              <w:rPr/>
            </w:pPr>
            <w:r>
              <w:rPr/>
              <w:t>Common stock</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74" w:type="dxa"/>
            <w:tcBorders/>
            <w:shd w:fill="CCEEFF" w:val="clear"/>
            <w:tcMar>
              <w:bottom w:w="0" w:type="dxa"/>
            </w:tcMar>
            <w:vAlign w:val="center"/>
          </w:tcPr>
          <w:p>
            <w:pPr>
              <w:pStyle w:val="TableContents"/>
              <w:bidi w:val="0"/>
              <w:spacing w:before="0" w:after="283"/>
              <w:jc w:val="left"/>
              <w:rPr/>
            </w:pPr>
            <w:r>
              <w:rPr/>
              <w:t>Common stock</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106</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8" w:type="dxa"/>
            <w:tcBorders/>
            <w:shd w:fill="CCEEFF" w:val="clear"/>
            <w:tcMar>
              <w:bottom w:w="0" w:type="dxa"/>
            </w:tcMar>
            <w:vAlign w:val="center"/>
          </w:tcPr>
          <w:p>
            <w:pPr>
              <w:pStyle w:val="TableContents"/>
              <w:bidi w:val="0"/>
              <w:spacing w:before="0" w:after="283"/>
              <w:jc w:val="left"/>
              <w:rPr/>
            </w:pPr>
            <w:r>
              <w:rPr/>
              <w:t> </w:t>
            </w:r>
          </w:p>
        </w:tc>
        <w:tc>
          <w:tcPr>
            <w:tcW w:w="1017"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56"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106</w:t>
            </w:r>
          </w:p>
        </w:tc>
        <w:tc>
          <w:tcPr>
            <w:tcW w:w="112" w:type="dxa"/>
            <w:tcBorders/>
            <w:shd w:fill="CCEEFF" w:val="clear"/>
            <w:tcMar>
              <w:bottom w:w="0" w:type="dxa"/>
            </w:tcMar>
            <w:vAlign w:val="center"/>
          </w:tcPr>
          <w:p>
            <w:pPr>
              <w:pStyle w:val="TableContents"/>
              <w:bidi w:val="0"/>
              <w:spacing w:before="0" w:after="283"/>
              <w:jc w:val="left"/>
              <w:rPr/>
            </w:pPr>
            <w:r>
              <w:rPr/>
              <w:t> </w:t>
            </w:r>
          </w:p>
        </w:tc>
      </w:tr>
      <w:tr>
        <w:trPr/>
        <w:tc>
          <w:tcPr>
            <w:tcW w:w="2828" w:type="dxa"/>
            <w:tcBorders/>
            <w:shd w:fill="FFFFFF" w:val="clear"/>
            <w:tcMar>
              <w:bottom w:w="0" w:type="dxa"/>
            </w:tcMar>
            <w:vAlign w:val="center"/>
          </w:tcPr>
          <w:p>
            <w:pPr>
              <w:pStyle w:val="TableContents"/>
              <w:bidi w:val="0"/>
              <w:spacing w:before="0" w:after="283"/>
              <w:jc w:val="left"/>
              <w:rPr/>
            </w:pPr>
            <w:r>
              <w:rPr/>
              <w:t>Additional paid-in capital</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74" w:type="dxa"/>
            <w:tcBorders/>
            <w:shd w:fill="FFFFFF" w:val="clear"/>
            <w:tcMar>
              <w:bottom w:w="0" w:type="dxa"/>
            </w:tcMar>
            <w:vAlign w:val="center"/>
          </w:tcPr>
          <w:p>
            <w:pPr>
              <w:pStyle w:val="TableContents"/>
              <w:bidi w:val="0"/>
              <w:spacing w:before="0" w:after="283"/>
              <w:jc w:val="left"/>
              <w:rPr/>
            </w:pPr>
            <w:r>
              <w:rPr/>
              <w:t>Additional paid-in capital</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864,367</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8" w:type="dxa"/>
            <w:tcBorders/>
            <w:shd w:fill="FFFFFF" w:val="clear"/>
            <w:tcMar>
              <w:bottom w:w="0" w:type="dxa"/>
            </w:tcMar>
            <w:vAlign w:val="center"/>
          </w:tcPr>
          <w:p>
            <w:pPr>
              <w:pStyle w:val="TableContents"/>
              <w:bidi w:val="0"/>
              <w:spacing w:before="0" w:after="283"/>
              <w:jc w:val="left"/>
              <w:rPr/>
            </w:pPr>
            <w:r>
              <w:rPr/>
              <w:t> </w:t>
            </w:r>
          </w:p>
        </w:tc>
        <w:tc>
          <w:tcPr>
            <w:tcW w:w="1017"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56"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864,367</w:t>
            </w:r>
          </w:p>
        </w:tc>
        <w:tc>
          <w:tcPr>
            <w:tcW w:w="112" w:type="dxa"/>
            <w:tcBorders/>
            <w:shd w:fill="FFFFFF" w:val="clear"/>
            <w:tcMar>
              <w:bottom w:w="0" w:type="dxa"/>
            </w:tcMar>
            <w:vAlign w:val="center"/>
          </w:tcPr>
          <w:p>
            <w:pPr>
              <w:pStyle w:val="TableContents"/>
              <w:bidi w:val="0"/>
              <w:spacing w:before="0" w:after="283"/>
              <w:jc w:val="left"/>
              <w:rPr/>
            </w:pPr>
            <w:r>
              <w:rPr/>
              <w:t> </w:t>
            </w:r>
          </w:p>
        </w:tc>
      </w:tr>
      <w:tr>
        <w:trPr/>
        <w:tc>
          <w:tcPr>
            <w:tcW w:w="2828" w:type="dxa"/>
            <w:tcBorders/>
            <w:shd w:fill="CCEEFF" w:val="clear"/>
            <w:tcMar>
              <w:bottom w:w="0" w:type="dxa"/>
            </w:tcMar>
            <w:vAlign w:val="center"/>
          </w:tcPr>
          <w:p>
            <w:pPr>
              <w:pStyle w:val="TableContents"/>
              <w:bidi w:val="0"/>
              <w:spacing w:before="0" w:after="283"/>
              <w:jc w:val="left"/>
              <w:rPr/>
            </w:pPr>
            <w:r>
              <w:rPr/>
              <w:t>Accumulated deficit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74" w:type="dxa"/>
            <w:tcBorders/>
            <w:shd w:fill="CCEEFF" w:val="clear"/>
            <w:tcMar>
              <w:bottom w:w="0" w:type="dxa"/>
            </w:tcMar>
            <w:vAlign w:val="center"/>
          </w:tcPr>
          <w:p>
            <w:pPr>
              <w:pStyle w:val="TableContents"/>
              <w:bidi w:val="0"/>
              <w:spacing w:before="0" w:after="283"/>
              <w:jc w:val="left"/>
              <w:rPr/>
            </w:pPr>
            <w:r>
              <w:rPr/>
              <w:t>Accumulated deficit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(387,281</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8" w:type="dxa"/>
            <w:tcBorders/>
            <w:shd w:fill="CCEEFF" w:val="clear"/>
            <w:tcMar>
              <w:bottom w:w="0" w:type="dxa"/>
            </w:tcMar>
            <w:vAlign w:val="center"/>
          </w:tcPr>
          <w:p>
            <w:pPr>
              <w:pStyle w:val="TableContents"/>
              <w:bidi w:val="0"/>
              <w:spacing w:before="0" w:after="283"/>
              <w:jc w:val="left"/>
              <w:rPr/>
            </w:pPr>
            <w:r>
              <w:rPr/>
              <w:t> </w:t>
            </w:r>
          </w:p>
        </w:tc>
        <w:tc>
          <w:tcPr>
            <w:tcW w:w="1017"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56"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(387,281</w:t>
            </w:r>
          </w:p>
        </w:tc>
        <w:tc>
          <w:tcPr>
            <w:tcW w:w="112" w:type="dxa"/>
            <w:tcBorders/>
            <w:shd w:fill="CCEEFF" w:val="clear"/>
            <w:tcMar>
              <w:bottom w:w="0" w:type="dxa"/>
            </w:tcMar>
            <w:vAlign w:val="center"/>
          </w:tcPr>
          <w:p>
            <w:pPr>
              <w:pStyle w:val="TableContents"/>
              <w:bidi w:val="0"/>
              <w:spacing w:before="0" w:after="283"/>
              <w:jc w:val="left"/>
              <w:rPr/>
            </w:pPr>
            <w:r>
              <w:rPr/>
              <w:t>)</w:t>
            </w:r>
          </w:p>
        </w:tc>
      </w:tr>
      <w:tr>
        <w:trPr/>
        <w:tc>
          <w:tcPr>
            <w:tcW w:w="2828" w:type="dxa"/>
            <w:tcBorders/>
            <w:shd w:fill="FFFFFF" w:val="clear"/>
            <w:tcMar>
              <w:bottom w:w="0" w:type="dxa"/>
            </w:tcMar>
            <w:vAlign w:val="center"/>
          </w:tcPr>
          <w:p>
            <w:pPr>
              <w:pStyle w:val="TableContents"/>
              <w:bidi w:val="0"/>
              <w:spacing w:before="0" w:after="283"/>
              <w:jc w:val="left"/>
              <w:rPr/>
            </w:pPr>
            <w:r>
              <w:rPr/>
              <w:t>Accumulated other comprehensive loss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74" w:type="dxa"/>
            <w:tcBorders/>
            <w:shd w:fill="FFFFFF" w:val="clear"/>
            <w:tcMar>
              <w:bottom w:w="0" w:type="dxa"/>
            </w:tcMar>
            <w:vAlign w:val="center"/>
          </w:tcPr>
          <w:p>
            <w:pPr>
              <w:pStyle w:val="TableContents"/>
              <w:bidi w:val="0"/>
              <w:spacing w:before="0" w:after="283"/>
              <w:jc w:val="left"/>
              <w:rPr/>
            </w:pPr>
            <w:r>
              <w:rPr/>
              <w:t>Accumulated other comprehensive income (loss), net of tax</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980" w:type="dxa"/>
            <w:tcBorders/>
            <w:shd w:fill="FFFFFF" w:val="clear"/>
            <w:tcMar>
              <w:bottom w:w="0" w:type="dxa"/>
            </w:tcMar>
            <w:vAlign w:val="center"/>
          </w:tcPr>
          <w:p>
            <w:pPr>
              <w:pStyle w:val="TableContents"/>
              <w:bidi w:val="0"/>
              <w:spacing w:before="0" w:after="283"/>
              <w:jc w:val="right"/>
              <w:rPr/>
            </w:pPr>
            <w:r>
              <w:rPr/>
              <w:t>(4,681</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8" w:type="dxa"/>
            <w:tcBorders/>
            <w:shd w:fill="FFFFFF" w:val="clear"/>
            <w:tcMar>
              <w:bottom w:w="0" w:type="dxa"/>
            </w:tcMar>
            <w:vAlign w:val="center"/>
          </w:tcPr>
          <w:p>
            <w:pPr>
              <w:pStyle w:val="TableContents"/>
              <w:bidi w:val="0"/>
              <w:spacing w:before="0" w:after="283"/>
              <w:jc w:val="left"/>
              <w:rPr/>
            </w:pPr>
            <w:r>
              <w:rPr/>
              <w:t>$</w:t>
            </w:r>
          </w:p>
        </w:tc>
        <w:tc>
          <w:tcPr>
            <w:tcW w:w="1017"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56"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980" w:type="dxa"/>
            <w:tcBorders/>
            <w:shd w:fill="FFFFFF" w:val="clear"/>
            <w:tcMar>
              <w:bottom w:w="0" w:type="dxa"/>
            </w:tcMar>
            <w:vAlign w:val="center"/>
          </w:tcPr>
          <w:p>
            <w:pPr>
              <w:pStyle w:val="TableContents"/>
              <w:bidi w:val="0"/>
              <w:spacing w:before="0" w:after="283"/>
              <w:jc w:val="right"/>
              <w:rPr/>
            </w:pPr>
            <w:r>
              <w:rPr/>
              <w:t>(4,681</w:t>
            </w:r>
          </w:p>
        </w:tc>
        <w:tc>
          <w:tcPr>
            <w:tcW w:w="112" w:type="dxa"/>
            <w:tcBorders/>
            <w:shd w:fill="FFFFFF" w:val="clear"/>
            <w:tcMar>
              <w:bottom w:w="0" w:type="dxa"/>
            </w:tcMar>
            <w:vAlign w:val="center"/>
          </w:tcPr>
          <w:p>
            <w:pPr>
              <w:pStyle w:val="TableContents"/>
              <w:bidi w:val="0"/>
              <w:spacing w:before="0" w:after="283"/>
              <w:jc w:val="left"/>
              <w:rPr/>
            </w:pPr>
            <w:r>
              <w:rPr/>
              <w:t>)</w:t>
            </w:r>
          </w:p>
        </w:tc>
      </w:tr>
    </w:tbl>
    <w:p>
      <w:pPr>
        <w:pStyle w:val="TextBody"/>
        <w:bidi w:val="0"/>
        <w:ind w:left="720" w:right="0" w:hanging="36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40"/>
        <w:gridCol w:w="9990"/>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18"/>
              </w:rPr>
            </w:pPr>
            <w:r>
              <w:rPr>
                <w:sz w:val="18"/>
              </w:rPr>
              <w:t>a.</w:t>
            </w:r>
          </w:p>
        </w:tc>
        <w:tc>
          <w:tcPr>
            <w:tcW w:w="9990" w:type="dxa"/>
            <w:tcBorders/>
            <w:vAlign w:val="center"/>
          </w:tcPr>
          <w:p>
            <w:pPr>
              <w:pStyle w:val="TableContents"/>
              <w:bidi w:val="0"/>
              <w:spacing w:before="0" w:after="283"/>
              <w:jc w:val="both"/>
              <w:rPr>
                <w:sz w:val="18"/>
              </w:rPr>
            </w:pPr>
            <w:r>
              <w:rPr>
                <w:sz w:val="18"/>
              </w:rPr>
              <w:t>Reclassification of $3,086 related to commissions and other contract costs from Other prepaid expenses and Other current assets to Contract assets.</w:t>
            </w:r>
          </w:p>
        </w:tc>
      </w:tr>
    </w:tbl>
    <w:tbl>
      <w:tblPr>
        <w:tblW w:w="10205" w:type="dxa"/>
        <w:jc w:val="left"/>
        <w:tblInd w:w="0" w:type="dxa"/>
        <w:tblLayout w:type="fixed"/>
        <w:tblCellMar>
          <w:top w:w="0" w:type="dxa"/>
          <w:left w:w="0" w:type="dxa"/>
          <w:bottom w:w="0" w:type="dxa"/>
          <w:right w:w="0" w:type="dxa"/>
        </w:tblCellMar>
      </w:tblPr>
      <w:tblGrid>
        <w:gridCol w:w="75"/>
        <w:gridCol w:w="155"/>
        <w:gridCol w:w="9975"/>
      </w:tblGrid>
      <w:tr>
        <w:trPr/>
        <w:tc>
          <w:tcPr>
            <w:tcW w:w="7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sz w:val="18"/>
              </w:rPr>
            </w:pPr>
            <w:r>
              <w:rPr>
                <w:sz w:val="18"/>
              </w:rPr>
              <w:t>b.</w:t>
            </w:r>
          </w:p>
        </w:tc>
        <w:tc>
          <w:tcPr>
            <w:tcW w:w="9975" w:type="dxa"/>
            <w:tcBorders/>
            <w:vAlign w:val="center"/>
          </w:tcPr>
          <w:p>
            <w:pPr>
              <w:pStyle w:val="TableContents"/>
              <w:bidi w:val="0"/>
              <w:spacing w:before="0" w:after="283"/>
              <w:jc w:val="both"/>
              <w:rPr>
                <w:sz w:val="18"/>
              </w:rPr>
            </w:pPr>
            <w:r>
              <w:rPr>
                <w:sz w:val="18"/>
              </w:rPr>
              <w:t>Reclassification of $27,493 of Other assets to Right-of-use assets - operating leases, Restricted cash, and Deferred income tax assets, net in the amounts of $25,096, $199, and $2,198, respectively.</w:t>
            </w:r>
          </w:p>
        </w:tc>
      </w:tr>
    </w:tbl>
    <w:tbl>
      <w:tblPr>
        <w:tblW w:w="10205" w:type="dxa"/>
        <w:jc w:val="left"/>
        <w:tblInd w:w="0" w:type="dxa"/>
        <w:tblLayout w:type="fixed"/>
        <w:tblCellMar>
          <w:top w:w="0" w:type="dxa"/>
          <w:left w:w="0" w:type="dxa"/>
          <w:bottom w:w="0" w:type="dxa"/>
          <w:right w:w="0" w:type="dxa"/>
        </w:tblCellMar>
      </w:tblPr>
      <w:tblGrid>
        <w:gridCol w:w="75"/>
        <w:gridCol w:w="140"/>
        <w:gridCol w:w="9990"/>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18"/>
              </w:rPr>
            </w:pPr>
            <w:r>
              <w:rPr>
                <w:sz w:val="18"/>
              </w:rPr>
              <w:t>c.</w:t>
            </w:r>
          </w:p>
        </w:tc>
        <w:tc>
          <w:tcPr>
            <w:tcW w:w="9990" w:type="dxa"/>
            <w:tcBorders/>
            <w:vAlign w:val="center"/>
          </w:tcPr>
          <w:p>
            <w:pPr>
              <w:pStyle w:val="TableContents"/>
              <w:bidi w:val="0"/>
              <w:spacing w:before="0" w:after="283"/>
              <w:jc w:val="left"/>
              <w:rPr>
                <w:sz w:val="18"/>
              </w:rPr>
            </w:pPr>
            <w:r>
              <w:rPr>
                <w:sz w:val="18"/>
              </w:rPr>
              <w:t>Reclassification of $37,511 from Equity method investments to Other non-current assets. Refer to note (b) above for the reclassification of $27,493 from Other assets.</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5"/>
        <w:gridCol w:w="9975"/>
      </w:tblGrid>
      <w:tr>
        <w:trPr/>
        <w:tc>
          <w:tcPr>
            <w:tcW w:w="7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sz w:val="18"/>
              </w:rPr>
            </w:pPr>
            <w:r>
              <w:rPr>
                <w:sz w:val="18"/>
              </w:rPr>
              <w:t>d.</w:t>
            </w:r>
          </w:p>
        </w:tc>
        <w:tc>
          <w:tcPr>
            <w:tcW w:w="9975" w:type="dxa"/>
            <w:tcBorders/>
            <w:vAlign w:val="center"/>
          </w:tcPr>
          <w:p>
            <w:pPr>
              <w:pStyle w:val="TableContents"/>
              <w:bidi w:val="0"/>
              <w:spacing w:before="0" w:after="283"/>
              <w:jc w:val="both"/>
              <w:rPr>
                <w:sz w:val="18"/>
              </w:rPr>
            </w:pPr>
            <w:r>
              <w:rPr>
                <w:sz w:val="18"/>
              </w:rPr>
              <w:t>Reclassification of $73,969 of Accrued expenses and other current liabilities to Trade payables, Employee benefits payable, and Other current liabilities, in the amounts of $16,939, $32,685, and $24,345, respectively.</w:t>
            </w:r>
          </w:p>
        </w:tc>
      </w:tr>
    </w:tbl>
    <w:tbl>
      <w:tblPr>
        <w:tblW w:w="6985" w:type="dxa"/>
        <w:jc w:val="left"/>
        <w:tblInd w:w="0" w:type="dxa"/>
        <w:tblLayout w:type="fixed"/>
        <w:tblCellMar>
          <w:top w:w="0" w:type="dxa"/>
          <w:left w:w="0" w:type="dxa"/>
          <w:bottom w:w="0" w:type="dxa"/>
          <w:right w:w="0" w:type="dxa"/>
        </w:tblCellMar>
      </w:tblPr>
      <w:tblGrid>
        <w:gridCol w:w="75"/>
        <w:gridCol w:w="140"/>
        <w:gridCol w:w="6770"/>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18"/>
              </w:rPr>
            </w:pPr>
            <w:r>
              <w:rPr>
                <w:sz w:val="18"/>
              </w:rPr>
              <w:t>e.</w:t>
            </w:r>
          </w:p>
        </w:tc>
        <w:tc>
          <w:tcPr>
            <w:tcW w:w="6770" w:type="dxa"/>
            <w:tcBorders/>
            <w:vAlign w:val="center"/>
          </w:tcPr>
          <w:p>
            <w:pPr>
              <w:pStyle w:val="TableContents"/>
              <w:bidi w:val="0"/>
              <w:spacing w:before="0" w:after="283"/>
              <w:jc w:val="both"/>
              <w:rPr>
                <w:sz w:val="18"/>
              </w:rPr>
            </w:pPr>
            <w:r>
              <w:rPr>
                <w:sz w:val="18"/>
              </w:rPr>
              <w:t>Reclassification of $41,959 from Deferred revenue, net of current portion to Contract liabilities.</w:t>
            </w:r>
          </w:p>
        </w:tc>
      </w:tr>
    </w:tbl>
    <w:tbl>
      <w:tblPr>
        <w:tblW w:w="7330" w:type="dxa"/>
        <w:jc w:val="left"/>
        <w:tblInd w:w="0" w:type="dxa"/>
        <w:tblLayout w:type="fixed"/>
        <w:tblCellMar>
          <w:top w:w="0" w:type="dxa"/>
          <w:left w:w="0" w:type="dxa"/>
          <w:bottom w:w="0" w:type="dxa"/>
          <w:right w:w="0" w:type="dxa"/>
        </w:tblCellMar>
      </w:tblPr>
      <w:tblGrid>
        <w:gridCol w:w="75"/>
        <w:gridCol w:w="125"/>
        <w:gridCol w:w="7130"/>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sz w:val="18"/>
              </w:rPr>
            </w:pPr>
            <w:r>
              <w:rPr>
                <w:sz w:val="18"/>
              </w:rPr>
              <w:t>f.</w:t>
            </w:r>
          </w:p>
        </w:tc>
        <w:tc>
          <w:tcPr>
            <w:tcW w:w="7130" w:type="dxa"/>
            <w:tcBorders/>
            <w:vAlign w:val="center"/>
          </w:tcPr>
          <w:p>
            <w:pPr>
              <w:pStyle w:val="TableContents"/>
              <w:bidi w:val="0"/>
              <w:spacing w:before="0" w:after="283"/>
              <w:jc w:val="both"/>
              <w:rPr>
                <w:sz w:val="18"/>
              </w:rPr>
            </w:pPr>
            <w:r>
              <w:rPr>
                <w:sz w:val="18"/>
              </w:rPr>
              <w:t>Reclassification of $25,289 from Other long-term liabilities to Non-current operating lease liabilities.</w:t>
            </w:r>
          </w:p>
        </w:tc>
      </w:tr>
    </w:tbl>
    <w:p>
      <w:pPr>
        <w:pStyle w:val="TextBody"/>
        <w:bidi w:val="0"/>
        <w:ind w:left="720" w:right="0" w:hanging="360"/>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reflects certain adjustments made to present Iridium’s historical Consolidated Statement of Operations for the six months ended June 30, 2026 to conform with that of Rocket Lab’s historical consolidated statement of operations for the six months ended June 30, 2026 (in thousands):</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w:t>
      </w:r>
    </w:p>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974"/>
        <w:gridCol w:w="60"/>
        <w:gridCol w:w="2901"/>
        <w:gridCol w:w="60"/>
        <w:gridCol w:w="140"/>
        <w:gridCol w:w="800"/>
        <w:gridCol w:w="95"/>
        <w:gridCol w:w="60"/>
        <w:gridCol w:w="166"/>
        <w:gridCol w:w="1039"/>
        <w:gridCol w:w="95"/>
        <w:gridCol w:w="60"/>
        <w:gridCol w:w="554"/>
        <w:gridCol w:w="60"/>
        <w:gridCol w:w="153"/>
        <w:gridCol w:w="875"/>
        <w:gridCol w:w="113"/>
      </w:tblGrid>
      <w:tr>
        <w:trPr/>
        <w:tc>
          <w:tcPr>
            <w:tcW w:w="10205" w:type="dxa"/>
            <w:gridSpan w:val="17"/>
            <w:tcBorders>
              <w:bottom w:val="single" w:sz="8" w:space="0" w:color="000000"/>
            </w:tcBorders>
            <w:vAlign w:val="center"/>
          </w:tcPr>
          <w:p>
            <w:pPr>
              <w:pStyle w:val="TableContents"/>
              <w:bidi w:val="0"/>
              <w:spacing w:before="0" w:after="283"/>
              <w:jc w:val="center"/>
              <w:rPr>
                <w:b/>
                <w:sz w:val="18"/>
              </w:rPr>
            </w:pPr>
            <w:r>
              <w:rPr>
                <w:b/>
                <w:sz w:val="18"/>
              </w:rPr>
              <w:t>Consolidated Statement of Operations presentation for the six months ended June 30, 2026</w:t>
            </w:r>
          </w:p>
        </w:tc>
      </w:tr>
      <w:tr>
        <w:trPr/>
        <w:tc>
          <w:tcPr>
            <w:tcW w:w="2974" w:type="dxa"/>
            <w:tcBorders>
              <w:bottom w:val="single" w:sz="8" w:space="0" w:color="000000"/>
            </w:tcBorders>
            <w:vAlign w:val="center"/>
          </w:tcPr>
          <w:p>
            <w:pPr>
              <w:pStyle w:val="TableContents"/>
              <w:bidi w:val="0"/>
              <w:spacing w:before="0" w:after="283"/>
              <w:jc w:val="center"/>
              <w:rPr>
                <w:b/>
                <w:sz w:val="18"/>
              </w:rPr>
            </w:pPr>
            <w:r>
              <w:rPr>
                <w:b/>
                <w:sz w:val="18"/>
              </w:rPr>
              <w:t>Rocket Lab</w:t>
            </w:r>
          </w:p>
        </w:tc>
        <w:tc>
          <w:tcPr>
            <w:tcW w:w="60" w:type="dxa"/>
            <w:tcBorders/>
            <w:tcMar>
              <w:bottom w:w="0" w:type="dxa"/>
            </w:tcMar>
            <w:vAlign w:val="center"/>
          </w:tcPr>
          <w:p>
            <w:pPr>
              <w:pStyle w:val="TableContents"/>
              <w:bidi w:val="0"/>
              <w:spacing w:before="0" w:after="283"/>
              <w:jc w:val="left"/>
              <w:rPr/>
            </w:pPr>
            <w:r>
              <w:rPr/>
              <w:t> </w:t>
            </w:r>
          </w:p>
        </w:tc>
        <w:tc>
          <w:tcPr>
            <w:tcW w:w="2901" w:type="dxa"/>
            <w:tcBorders>
              <w:bottom w:val="single" w:sz="8" w:space="0" w:color="000000"/>
            </w:tcBorders>
            <w:vAlign w:val="center"/>
          </w:tcPr>
          <w:p>
            <w:pPr>
              <w:pStyle w:val="TableContents"/>
              <w:bidi w:val="0"/>
              <w:spacing w:before="0" w:after="283"/>
              <w:jc w:val="center"/>
              <w:rPr>
                <w:b/>
                <w:sz w:val="18"/>
              </w:rPr>
            </w:pPr>
            <w:r>
              <w:rPr>
                <w:b/>
                <w:sz w:val="18"/>
              </w:rPr>
              <w:t>Iridium</w:t>
            </w:r>
          </w:p>
        </w:tc>
        <w:tc>
          <w:tcPr>
            <w:tcW w:w="60" w:type="dxa"/>
            <w:tcBorders/>
            <w:tcMar>
              <w:bottom w:w="0" w:type="dxa"/>
            </w:tcMar>
            <w:vAlign w:val="center"/>
          </w:tcPr>
          <w:p>
            <w:pPr>
              <w:pStyle w:val="TableContents"/>
              <w:bidi w:val="0"/>
              <w:spacing w:before="0" w:after="283"/>
              <w:jc w:val="left"/>
              <w:rPr/>
            </w:pPr>
            <w:r>
              <w:rPr/>
              <w:t> </w:t>
            </w:r>
          </w:p>
        </w:tc>
        <w:tc>
          <w:tcPr>
            <w:tcW w:w="940" w:type="dxa"/>
            <w:gridSpan w:val="2"/>
            <w:tcBorders>
              <w:bottom w:val="single" w:sz="8" w:space="0" w:color="000000"/>
            </w:tcBorders>
            <w:vAlign w:val="center"/>
          </w:tcPr>
          <w:p>
            <w:pPr>
              <w:pStyle w:val="TableContents"/>
              <w:bidi w:val="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 xml:space="preserve">Iridium </w:t>
            </w:r>
          </w:p>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Historical</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05" w:type="dxa"/>
            <w:gridSpan w:val="2"/>
            <w:tcBorders>
              <w:bottom w:val="single" w:sz="8" w:space="0" w:color="000000"/>
            </w:tcBorders>
            <w:vAlign w:val="center"/>
          </w:tcPr>
          <w:p>
            <w:pPr>
              <w:pStyle w:val="TableContents"/>
              <w:bidi w:val="0"/>
              <w:spacing w:before="0" w:after="283"/>
              <w:jc w:val="center"/>
              <w:rPr>
                <w:b/>
                <w:sz w:val="18"/>
              </w:rPr>
            </w:pPr>
            <w:r>
              <w:rPr>
                <w:b/>
                <w:sz w:val="18"/>
              </w:rPr>
              <w:t>Reclassification</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54" w:type="dxa"/>
            <w:tcBorders>
              <w:bottom w:val="single" w:sz="8" w:space="0" w:color="000000"/>
            </w:tcBorders>
            <w:vAlign w:val="center"/>
          </w:tcPr>
          <w:p>
            <w:pPr>
              <w:pStyle w:val="TableContents"/>
              <w:bidi w:val="0"/>
              <w:spacing w:before="0" w:after="283"/>
              <w:jc w:val="center"/>
              <w:rPr>
                <w:b/>
                <w:sz w:val="18"/>
              </w:rPr>
            </w:pPr>
            <w:r>
              <w:rPr>
                <w:b/>
                <w:sz w:val="18"/>
              </w:rPr>
              <w:t>Note</w:t>
            </w:r>
          </w:p>
        </w:tc>
        <w:tc>
          <w:tcPr>
            <w:tcW w:w="60" w:type="dxa"/>
            <w:tcBorders/>
            <w:tcMar>
              <w:bottom w:w="0" w:type="dxa"/>
            </w:tcMar>
            <w:vAlign w:val="center"/>
          </w:tcPr>
          <w:p>
            <w:pPr>
              <w:pStyle w:val="TableContents"/>
              <w:bidi w:val="0"/>
              <w:spacing w:before="0" w:after="283"/>
              <w:jc w:val="left"/>
              <w:rPr/>
            </w:pPr>
            <w:r>
              <w:rPr/>
              <w:t> </w:t>
            </w:r>
          </w:p>
        </w:tc>
        <w:tc>
          <w:tcPr>
            <w:tcW w:w="1028" w:type="dxa"/>
            <w:gridSpan w:val="2"/>
            <w:tcBorders>
              <w:bottom w:val="single" w:sz="8" w:space="0" w:color="000000"/>
            </w:tcBorders>
            <w:vAlign w:val="center"/>
          </w:tcPr>
          <w:p>
            <w:pPr>
              <w:pStyle w:val="TableContents"/>
              <w:bidi w:val="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 xml:space="preserve">Iridium </w:t>
            </w:r>
          </w:p>
          <w:p>
            <w:pPr>
              <w:pStyle w:val="TableContents"/>
              <w:bidi w:val="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 xml:space="preserve">Historical, as </w:t>
            </w:r>
          </w:p>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Reclassified</w:t>
            </w:r>
          </w:p>
        </w:tc>
        <w:tc>
          <w:tcPr>
            <w:tcW w:w="113" w:type="dxa"/>
            <w:tcBorders/>
            <w:tcMar>
              <w:bottom w:w="0" w:type="dxa"/>
            </w:tcMar>
            <w:vAlign w:val="center"/>
          </w:tcPr>
          <w:p>
            <w:pPr>
              <w:pStyle w:val="TableContents"/>
              <w:bidi w:val="0"/>
              <w:spacing w:before="0" w:after="283"/>
              <w:jc w:val="left"/>
              <w:rPr/>
            </w:pPr>
            <w:r>
              <w:rPr/>
              <w:t> </w:t>
            </w:r>
          </w:p>
        </w:tc>
      </w:tr>
      <w:tr>
        <w:trPr/>
        <w:tc>
          <w:tcPr>
            <w:tcW w:w="2974" w:type="dxa"/>
            <w:tcBorders/>
            <w:shd w:fill="CCEEFF" w:val="clear"/>
            <w:tcMar>
              <w:bottom w:w="0" w:type="dxa"/>
            </w:tcMar>
            <w:vAlign w:val="center"/>
          </w:tcPr>
          <w:p>
            <w:pPr>
              <w:pStyle w:val="TableContents"/>
              <w:bidi w:val="0"/>
              <w:spacing w:before="0" w:after="283"/>
              <w:jc w:val="left"/>
              <w:rPr/>
            </w:pPr>
            <w:r>
              <w:rPr/>
              <w:t>Product revenues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901" w:type="dxa"/>
            <w:tcBorders/>
            <w:shd w:fill="CCEEFF" w:val="clear"/>
            <w:tcMar>
              <w:bottom w:w="0" w:type="dxa"/>
            </w:tcMar>
            <w:vAlign w:val="center"/>
          </w:tcPr>
          <w:p>
            <w:pPr>
              <w:pStyle w:val="TableContents"/>
              <w:bidi w:val="0"/>
              <w:spacing w:before="0" w:after="283"/>
              <w:jc w:val="left"/>
              <w:rPr/>
            </w:pPr>
            <w:r>
              <w:rPr/>
              <w:t>Subscriber equipment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40,986</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6" w:type="dxa"/>
            <w:tcBorders/>
            <w:shd w:fill="CCEEFF" w:val="clear"/>
            <w:tcMar>
              <w:bottom w:w="0" w:type="dxa"/>
            </w:tcMar>
            <w:vAlign w:val="center"/>
          </w:tcPr>
          <w:p>
            <w:pPr>
              <w:pStyle w:val="TableContents"/>
              <w:bidi w:val="0"/>
              <w:spacing w:before="0" w:after="283"/>
              <w:jc w:val="left"/>
              <w:rPr/>
            </w:pPr>
            <w:r>
              <w:rPr/>
              <w:t>$</w:t>
            </w:r>
          </w:p>
        </w:tc>
        <w:tc>
          <w:tcPr>
            <w:tcW w:w="1039"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54"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3" w:type="dxa"/>
            <w:tcBorders/>
            <w:shd w:fill="CCEEFF" w:val="clear"/>
            <w:tcMar>
              <w:bottom w:w="0" w:type="dxa"/>
            </w:tcMar>
            <w:vAlign w:val="center"/>
          </w:tcPr>
          <w:p>
            <w:pPr>
              <w:pStyle w:val="TableContents"/>
              <w:bidi w:val="0"/>
              <w:spacing w:before="0" w:after="283"/>
              <w:jc w:val="left"/>
              <w:rPr/>
            </w:pPr>
            <w:r>
              <w:rPr/>
              <w:t>$</w:t>
            </w:r>
          </w:p>
        </w:tc>
        <w:tc>
          <w:tcPr>
            <w:tcW w:w="875" w:type="dxa"/>
            <w:tcBorders/>
            <w:shd w:fill="CCEEFF" w:val="clear"/>
            <w:tcMar>
              <w:bottom w:w="0" w:type="dxa"/>
            </w:tcMar>
            <w:vAlign w:val="center"/>
          </w:tcPr>
          <w:p>
            <w:pPr>
              <w:pStyle w:val="TableContents"/>
              <w:bidi w:val="0"/>
              <w:spacing w:before="0" w:after="283"/>
              <w:jc w:val="right"/>
              <w:rPr/>
            </w:pPr>
            <w:r>
              <w:rPr/>
              <w:t>40,986</w:t>
            </w:r>
          </w:p>
        </w:tc>
        <w:tc>
          <w:tcPr>
            <w:tcW w:w="113" w:type="dxa"/>
            <w:tcBorders/>
            <w:shd w:fill="CCEEFF" w:val="clear"/>
            <w:tcMar>
              <w:bottom w:w="0" w:type="dxa"/>
            </w:tcMar>
            <w:vAlign w:val="center"/>
          </w:tcPr>
          <w:p>
            <w:pPr>
              <w:pStyle w:val="TableContents"/>
              <w:bidi w:val="0"/>
              <w:spacing w:before="0" w:after="283"/>
              <w:jc w:val="left"/>
              <w:rPr/>
            </w:pPr>
            <w:r>
              <w:rPr/>
              <w:t> </w:t>
            </w:r>
          </w:p>
        </w:tc>
      </w:tr>
      <w:tr>
        <w:trPr/>
        <w:tc>
          <w:tcPr>
            <w:tcW w:w="2974" w:type="dxa"/>
            <w:tcBorders/>
            <w:shd w:fill="FFFFFF" w:val="clear"/>
            <w:tcMar>
              <w:bottom w:w="0" w:type="dxa"/>
            </w:tcMar>
            <w:vAlign w:val="center"/>
          </w:tcPr>
          <w:p>
            <w:pPr>
              <w:pStyle w:val="TableContents"/>
              <w:bidi w:val="0"/>
              <w:spacing w:before="0" w:after="283"/>
              <w:jc w:val="left"/>
              <w:rPr/>
            </w:pPr>
            <w:r>
              <w:rPr/>
              <w:t>Service revenues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901" w:type="dxa"/>
            <w:tcBorders/>
            <w:shd w:fill="FFFFFF" w:val="clear"/>
            <w:tcMar>
              <w:bottom w:w="0" w:type="dxa"/>
            </w:tcMar>
            <w:vAlign w:val="center"/>
          </w:tcPr>
          <w:p>
            <w:pPr>
              <w:pStyle w:val="TableContents"/>
              <w:bidi w:val="0"/>
              <w:spacing w:before="0" w:after="283"/>
              <w:jc w:val="left"/>
              <w:rPr/>
            </w:pPr>
            <w:r>
              <w:rPr/>
              <w:t>Services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319,357</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6" w:type="dxa"/>
            <w:tcBorders/>
            <w:shd w:fill="FFFFFF" w:val="clear"/>
            <w:tcMar>
              <w:bottom w:w="0" w:type="dxa"/>
            </w:tcMar>
            <w:vAlign w:val="center"/>
          </w:tcPr>
          <w:p>
            <w:pPr>
              <w:pStyle w:val="TableContents"/>
              <w:bidi w:val="0"/>
              <w:spacing w:before="0" w:after="283"/>
              <w:jc w:val="left"/>
              <w:rPr/>
            </w:pPr>
            <w:r>
              <w:rPr/>
              <w:t> </w:t>
            </w:r>
          </w:p>
        </w:tc>
        <w:tc>
          <w:tcPr>
            <w:tcW w:w="1039" w:type="dxa"/>
            <w:tcBorders/>
            <w:shd w:fill="FFFFFF" w:val="clear"/>
            <w:tcMar>
              <w:bottom w:w="0" w:type="dxa"/>
            </w:tcMar>
            <w:vAlign w:val="center"/>
          </w:tcPr>
          <w:p>
            <w:pPr>
              <w:pStyle w:val="TableContents"/>
              <w:bidi w:val="0"/>
              <w:spacing w:before="0" w:after="283"/>
              <w:jc w:val="right"/>
              <w:rPr/>
            </w:pPr>
            <w:r>
              <w:rPr/>
              <w:t>83,951</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54" w:type="dxa"/>
            <w:tcBorders/>
            <w:shd w:fill="FFFFFF" w:val="clear"/>
            <w:tcMar>
              <w:bottom w:w="0" w:type="dxa"/>
            </w:tcMar>
            <w:vAlign w:val="center"/>
          </w:tcPr>
          <w:p>
            <w:pPr>
              <w:pStyle w:val="TableContents"/>
              <w:bidi w:val="0"/>
              <w:spacing w:before="0" w:after="283"/>
              <w:jc w:val="center"/>
              <w:rPr/>
            </w:pPr>
            <w:r>
              <w:rPr/>
              <w:t>(a)</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3" w:type="dxa"/>
            <w:tcBorders/>
            <w:shd w:fill="FFFFFF" w:val="clear"/>
            <w:tcMar>
              <w:bottom w:w="0" w:type="dxa"/>
            </w:tcMar>
            <w:vAlign w:val="center"/>
          </w:tcPr>
          <w:p>
            <w:pPr>
              <w:pStyle w:val="TableContents"/>
              <w:bidi w:val="0"/>
              <w:spacing w:before="0" w:after="283"/>
              <w:jc w:val="left"/>
              <w:rPr/>
            </w:pPr>
            <w:r>
              <w:rPr/>
              <w:t> </w:t>
            </w:r>
          </w:p>
        </w:tc>
        <w:tc>
          <w:tcPr>
            <w:tcW w:w="875" w:type="dxa"/>
            <w:tcBorders/>
            <w:shd w:fill="FFFFFF" w:val="clear"/>
            <w:tcMar>
              <w:bottom w:w="0" w:type="dxa"/>
            </w:tcMar>
            <w:vAlign w:val="center"/>
          </w:tcPr>
          <w:p>
            <w:pPr>
              <w:pStyle w:val="TableContents"/>
              <w:bidi w:val="0"/>
              <w:spacing w:before="0" w:after="283"/>
              <w:jc w:val="right"/>
              <w:rPr/>
            </w:pPr>
            <w:r>
              <w:rPr/>
              <w:t>403,308</w:t>
            </w:r>
          </w:p>
        </w:tc>
        <w:tc>
          <w:tcPr>
            <w:tcW w:w="113" w:type="dxa"/>
            <w:tcBorders/>
            <w:shd w:fill="FFFFFF" w:val="clear"/>
            <w:tcMar>
              <w:bottom w:w="0" w:type="dxa"/>
            </w:tcMar>
            <w:vAlign w:val="center"/>
          </w:tcPr>
          <w:p>
            <w:pPr>
              <w:pStyle w:val="TableContents"/>
              <w:bidi w:val="0"/>
              <w:spacing w:before="0" w:after="283"/>
              <w:jc w:val="left"/>
              <w:rPr/>
            </w:pPr>
            <w:r>
              <w:rPr/>
              <w:t> </w:t>
            </w:r>
          </w:p>
        </w:tc>
      </w:tr>
      <w:tr>
        <w:trPr/>
        <w:tc>
          <w:tcPr>
            <w:tcW w:w="2974"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901" w:type="dxa"/>
            <w:tcBorders/>
            <w:shd w:fill="CCEEFF" w:val="clear"/>
            <w:tcMar>
              <w:bottom w:w="0" w:type="dxa"/>
            </w:tcMar>
            <w:vAlign w:val="center"/>
          </w:tcPr>
          <w:p>
            <w:pPr>
              <w:pStyle w:val="TableContents"/>
              <w:bidi w:val="0"/>
              <w:spacing w:before="0" w:after="283"/>
              <w:jc w:val="left"/>
              <w:rPr/>
            </w:pPr>
            <w:r>
              <w:rPr/>
              <w:t>Engineering and support services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83,951</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6" w:type="dxa"/>
            <w:tcBorders/>
            <w:shd w:fill="CCEEFF" w:val="clear"/>
            <w:tcMar>
              <w:bottom w:w="0" w:type="dxa"/>
            </w:tcMar>
            <w:vAlign w:val="center"/>
          </w:tcPr>
          <w:p>
            <w:pPr>
              <w:pStyle w:val="TableContents"/>
              <w:bidi w:val="0"/>
              <w:spacing w:before="0" w:after="283"/>
              <w:jc w:val="left"/>
              <w:rPr/>
            </w:pPr>
            <w:r>
              <w:rPr/>
              <w:t> </w:t>
            </w:r>
          </w:p>
        </w:tc>
        <w:tc>
          <w:tcPr>
            <w:tcW w:w="1039" w:type="dxa"/>
            <w:tcBorders/>
            <w:shd w:fill="CCEEFF" w:val="clear"/>
            <w:tcMar>
              <w:bottom w:w="0" w:type="dxa"/>
            </w:tcMar>
            <w:vAlign w:val="center"/>
          </w:tcPr>
          <w:p>
            <w:pPr>
              <w:pStyle w:val="TableContents"/>
              <w:bidi w:val="0"/>
              <w:spacing w:before="0" w:after="283"/>
              <w:jc w:val="right"/>
              <w:rPr/>
            </w:pPr>
            <w:r>
              <w:rPr/>
              <w:t>(83,951</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554" w:type="dxa"/>
            <w:tcBorders/>
            <w:shd w:fill="CCEEFF" w:val="clear"/>
            <w:tcMar>
              <w:bottom w:w="0" w:type="dxa"/>
            </w:tcMar>
            <w:vAlign w:val="center"/>
          </w:tcPr>
          <w:p>
            <w:pPr>
              <w:pStyle w:val="TableContents"/>
              <w:bidi w:val="0"/>
              <w:spacing w:before="0" w:after="283"/>
              <w:jc w:val="center"/>
              <w:rPr/>
            </w:pPr>
            <w:r>
              <w:rPr/>
              <w:t>(a)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3" w:type="dxa"/>
            <w:tcBorders/>
            <w:shd w:fill="CCEEFF" w:val="clear"/>
            <w:tcMar>
              <w:bottom w:w="0" w:type="dxa"/>
            </w:tcMar>
            <w:vAlign w:val="center"/>
          </w:tcPr>
          <w:p>
            <w:pPr>
              <w:pStyle w:val="TableContents"/>
              <w:bidi w:val="0"/>
              <w:spacing w:before="0" w:after="283"/>
              <w:jc w:val="left"/>
              <w:rPr/>
            </w:pPr>
            <w:r>
              <w:rPr/>
              <w:t> </w:t>
            </w:r>
          </w:p>
        </w:tc>
        <w:tc>
          <w:tcPr>
            <w:tcW w:w="875" w:type="dxa"/>
            <w:tcBorders/>
            <w:shd w:fill="CCEEFF" w:val="clear"/>
            <w:tcMar>
              <w:bottom w:w="0" w:type="dxa"/>
            </w:tcMar>
            <w:vAlign w:val="center"/>
          </w:tcPr>
          <w:p>
            <w:pPr>
              <w:pStyle w:val="TableContents"/>
              <w:bidi w:val="0"/>
              <w:spacing w:before="0" w:after="283"/>
              <w:jc w:val="right"/>
              <w:rPr/>
            </w:pPr>
            <w:r>
              <w:rPr/>
              <w:t>—</w:t>
            </w:r>
          </w:p>
        </w:tc>
        <w:tc>
          <w:tcPr>
            <w:tcW w:w="113" w:type="dxa"/>
            <w:tcBorders/>
            <w:shd w:fill="CCEEFF" w:val="clear"/>
            <w:tcMar>
              <w:bottom w:w="0" w:type="dxa"/>
            </w:tcMar>
            <w:vAlign w:val="center"/>
          </w:tcPr>
          <w:p>
            <w:pPr>
              <w:pStyle w:val="TableContents"/>
              <w:bidi w:val="0"/>
              <w:spacing w:before="0" w:after="283"/>
              <w:jc w:val="left"/>
              <w:rPr/>
            </w:pPr>
            <w:r>
              <w:rPr/>
              <w:t> </w:t>
            </w:r>
          </w:p>
        </w:tc>
      </w:tr>
      <w:tr>
        <w:trPr/>
        <w:tc>
          <w:tcPr>
            <w:tcW w:w="2974" w:type="dxa"/>
            <w:tcBorders/>
            <w:shd w:fill="FFFFFF" w:val="clear"/>
            <w:tcMar>
              <w:bottom w:w="0" w:type="dxa"/>
            </w:tcMar>
            <w:vAlign w:val="center"/>
          </w:tcPr>
          <w:p>
            <w:pPr>
              <w:pStyle w:val="TableContents"/>
              <w:bidi w:val="0"/>
              <w:spacing w:before="0" w:after="283"/>
              <w:jc w:val="left"/>
              <w:rPr/>
            </w:pPr>
            <w:r>
              <w:rPr/>
              <w:t>Cost of product revenues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901" w:type="dxa"/>
            <w:tcBorders/>
            <w:shd w:fill="FFFFFF" w:val="clear"/>
            <w:tcMar>
              <w:bottom w:w="0" w:type="dxa"/>
            </w:tcMar>
            <w:vAlign w:val="center"/>
          </w:tcPr>
          <w:p>
            <w:pPr>
              <w:pStyle w:val="TableContents"/>
              <w:bidi w:val="0"/>
              <w:spacing w:before="0" w:after="283"/>
              <w:jc w:val="left"/>
              <w:rPr/>
            </w:pPr>
            <w:r>
              <w:rPr/>
              <w:t>Cost of subscriber equipment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26,492</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6" w:type="dxa"/>
            <w:tcBorders/>
            <w:shd w:fill="FFFFFF" w:val="clear"/>
            <w:tcMar>
              <w:bottom w:w="0" w:type="dxa"/>
            </w:tcMar>
            <w:vAlign w:val="center"/>
          </w:tcPr>
          <w:p>
            <w:pPr>
              <w:pStyle w:val="TableContents"/>
              <w:bidi w:val="0"/>
              <w:spacing w:before="0" w:after="283"/>
              <w:jc w:val="left"/>
              <w:rPr/>
            </w:pPr>
            <w:r>
              <w:rPr/>
              <w:t> </w:t>
            </w:r>
          </w:p>
        </w:tc>
        <w:tc>
          <w:tcPr>
            <w:tcW w:w="1039" w:type="dxa"/>
            <w:tcBorders/>
            <w:shd w:fill="FFFFFF" w:val="clear"/>
            <w:tcMar>
              <w:bottom w:w="0" w:type="dxa"/>
            </w:tcMar>
            <w:vAlign w:val="center"/>
          </w:tcPr>
          <w:p>
            <w:pPr>
              <w:pStyle w:val="TableContents"/>
              <w:bidi w:val="0"/>
              <w:spacing w:before="0" w:after="283"/>
              <w:jc w:val="right"/>
              <w:rPr/>
            </w:pPr>
            <w:r>
              <w:rPr/>
              <w:t>9,057</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54" w:type="dxa"/>
            <w:tcBorders/>
            <w:shd w:fill="FFFFFF" w:val="clear"/>
            <w:tcMar>
              <w:bottom w:w="0" w:type="dxa"/>
            </w:tcMar>
            <w:vAlign w:val="center"/>
          </w:tcPr>
          <w:p>
            <w:pPr>
              <w:pStyle w:val="TableContents"/>
              <w:bidi w:val="0"/>
              <w:spacing w:before="0" w:after="283"/>
              <w:jc w:val="center"/>
              <w:rPr/>
            </w:pPr>
            <w:r>
              <w:rPr/>
              <w:t>(b)</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3" w:type="dxa"/>
            <w:tcBorders/>
            <w:shd w:fill="FFFFFF" w:val="clear"/>
            <w:tcMar>
              <w:bottom w:w="0" w:type="dxa"/>
            </w:tcMar>
            <w:vAlign w:val="center"/>
          </w:tcPr>
          <w:p>
            <w:pPr>
              <w:pStyle w:val="TableContents"/>
              <w:bidi w:val="0"/>
              <w:spacing w:before="0" w:after="283"/>
              <w:jc w:val="left"/>
              <w:rPr/>
            </w:pPr>
            <w:r>
              <w:rPr/>
              <w:t> </w:t>
            </w:r>
          </w:p>
        </w:tc>
        <w:tc>
          <w:tcPr>
            <w:tcW w:w="875" w:type="dxa"/>
            <w:tcBorders/>
            <w:shd w:fill="FFFFFF" w:val="clear"/>
            <w:tcMar>
              <w:bottom w:w="0" w:type="dxa"/>
            </w:tcMar>
            <w:vAlign w:val="center"/>
          </w:tcPr>
          <w:p>
            <w:pPr>
              <w:pStyle w:val="TableContents"/>
              <w:bidi w:val="0"/>
              <w:spacing w:before="0" w:after="283"/>
              <w:jc w:val="right"/>
              <w:rPr/>
            </w:pPr>
            <w:r>
              <w:rPr/>
              <w:t>35,549</w:t>
            </w:r>
          </w:p>
        </w:tc>
        <w:tc>
          <w:tcPr>
            <w:tcW w:w="113" w:type="dxa"/>
            <w:tcBorders/>
            <w:shd w:fill="FFFFFF" w:val="clear"/>
            <w:tcMar>
              <w:bottom w:w="0" w:type="dxa"/>
            </w:tcMar>
            <w:vAlign w:val="center"/>
          </w:tcPr>
          <w:p>
            <w:pPr>
              <w:pStyle w:val="TableContents"/>
              <w:bidi w:val="0"/>
              <w:spacing w:before="0" w:after="283"/>
              <w:jc w:val="left"/>
              <w:rPr/>
            </w:pPr>
            <w:r>
              <w:rPr/>
              <w:t> </w:t>
            </w:r>
          </w:p>
        </w:tc>
      </w:tr>
      <w:tr>
        <w:trPr/>
        <w:tc>
          <w:tcPr>
            <w:tcW w:w="2974" w:type="dxa"/>
            <w:tcBorders/>
            <w:shd w:fill="CCEEFF" w:val="clear"/>
            <w:tcMar>
              <w:bottom w:w="0" w:type="dxa"/>
            </w:tcMar>
            <w:vAlign w:val="center"/>
          </w:tcPr>
          <w:p>
            <w:pPr>
              <w:pStyle w:val="TableContents"/>
              <w:bidi w:val="0"/>
              <w:spacing w:before="0" w:after="283"/>
              <w:jc w:val="left"/>
              <w:rPr/>
            </w:pPr>
            <w:r>
              <w:rPr/>
              <w:t>Cost of service revenues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901" w:type="dxa"/>
            <w:tcBorders/>
            <w:shd w:fill="CCEEFF" w:val="clear"/>
            <w:tcMar>
              <w:bottom w:w="0" w:type="dxa"/>
            </w:tcMar>
            <w:vAlign w:val="center"/>
          </w:tcPr>
          <w:p>
            <w:pPr>
              <w:pStyle w:val="TableContents"/>
              <w:bidi w:val="0"/>
              <w:spacing w:before="0" w:after="283"/>
              <w:jc w:val="left"/>
              <w:rPr/>
            </w:pPr>
            <w:r>
              <w:rPr/>
              <w:t>Cost of services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100,950</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6" w:type="dxa"/>
            <w:tcBorders/>
            <w:shd w:fill="CCEEFF" w:val="clear"/>
            <w:tcMar>
              <w:bottom w:w="0" w:type="dxa"/>
            </w:tcMar>
            <w:vAlign w:val="center"/>
          </w:tcPr>
          <w:p>
            <w:pPr>
              <w:pStyle w:val="TableContents"/>
              <w:bidi w:val="0"/>
              <w:spacing w:before="0" w:after="283"/>
              <w:jc w:val="left"/>
              <w:rPr/>
            </w:pPr>
            <w:r>
              <w:rPr/>
              <w:t> </w:t>
            </w:r>
          </w:p>
        </w:tc>
        <w:tc>
          <w:tcPr>
            <w:tcW w:w="1039" w:type="dxa"/>
            <w:tcBorders/>
            <w:shd w:fill="CCEEFF" w:val="clear"/>
            <w:tcMar>
              <w:bottom w:w="0" w:type="dxa"/>
            </w:tcMar>
            <w:vAlign w:val="center"/>
          </w:tcPr>
          <w:p>
            <w:pPr>
              <w:pStyle w:val="TableContents"/>
              <w:bidi w:val="0"/>
              <w:spacing w:before="0" w:after="283"/>
              <w:jc w:val="right"/>
              <w:rPr/>
            </w:pPr>
            <w:r>
              <w:rPr/>
              <w:t>89,335</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54" w:type="dxa"/>
            <w:tcBorders/>
            <w:shd w:fill="CCEEFF" w:val="clear"/>
            <w:tcMar>
              <w:bottom w:w="0" w:type="dxa"/>
            </w:tcMar>
            <w:vAlign w:val="center"/>
          </w:tcPr>
          <w:p>
            <w:pPr>
              <w:pStyle w:val="TableContents"/>
              <w:bidi w:val="0"/>
              <w:spacing w:before="0" w:after="283"/>
              <w:jc w:val="center"/>
              <w:rPr/>
            </w:pPr>
            <w:r>
              <w:rPr/>
              <w:t>(b)</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3" w:type="dxa"/>
            <w:tcBorders/>
            <w:shd w:fill="CCEEFF" w:val="clear"/>
            <w:tcMar>
              <w:bottom w:w="0" w:type="dxa"/>
            </w:tcMar>
            <w:vAlign w:val="center"/>
          </w:tcPr>
          <w:p>
            <w:pPr>
              <w:pStyle w:val="TableContents"/>
              <w:bidi w:val="0"/>
              <w:spacing w:before="0" w:after="283"/>
              <w:jc w:val="left"/>
              <w:rPr/>
            </w:pPr>
            <w:r>
              <w:rPr/>
              <w:t> </w:t>
            </w:r>
          </w:p>
        </w:tc>
        <w:tc>
          <w:tcPr>
            <w:tcW w:w="875" w:type="dxa"/>
            <w:tcBorders/>
            <w:shd w:fill="CCEEFF" w:val="clear"/>
            <w:tcMar>
              <w:bottom w:w="0" w:type="dxa"/>
            </w:tcMar>
            <w:vAlign w:val="center"/>
          </w:tcPr>
          <w:p>
            <w:pPr>
              <w:pStyle w:val="TableContents"/>
              <w:bidi w:val="0"/>
              <w:spacing w:before="0" w:after="283"/>
              <w:jc w:val="right"/>
              <w:rPr/>
            </w:pPr>
            <w:r>
              <w:rPr/>
              <w:t>190,285</w:t>
            </w:r>
          </w:p>
        </w:tc>
        <w:tc>
          <w:tcPr>
            <w:tcW w:w="113" w:type="dxa"/>
            <w:tcBorders/>
            <w:shd w:fill="CCEEFF" w:val="clear"/>
            <w:tcMar>
              <w:bottom w:w="0" w:type="dxa"/>
            </w:tcMar>
            <w:vAlign w:val="center"/>
          </w:tcPr>
          <w:p>
            <w:pPr>
              <w:pStyle w:val="TableContents"/>
              <w:bidi w:val="0"/>
              <w:spacing w:before="0" w:after="283"/>
              <w:jc w:val="left"/>
              <w:rPr/>
            </w:pPr>
            <w:r>
              <w:rPr/>
              <w:t> </w:t>
            </w:r>
          </w:p>
        </w:tc>
      </w:tr>
      <w:tr>
        <w:trPr/>
        <w:tc>
          <w:tcPr>
            <w:tcW w:w="2974" w:type="dxa"/>
            <w:tcBorders/>
            <w:shd w:fill="FFFFFF" w:val="clear"/>
            <w:tcMar>
              <w:bottom w:w="0" w:type="dxa"/>
            </w:tcMar>
            <w:vAlign w:val="center"/>
          </w:tcPr>
          <w:p>
            <w:pPr>
              <w:pStyle w:val="TableContents"/>
              <w:bidi w:val="0"/>
              <w:spacing w:before="0" w:after="283"/>
              <w:jc w:val="left"/>
              <w:rPr/>
            </w:pPr>
            <w:r>
              <w:rPr/>
              <w:t>Research and development, net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901" w:type="dxa"/>
            <w:tcBorders/>
            <w:shd w:fill="FFFFFF" w:val="clear"/>
            <w:tcMar>
              <w:bottom w:w="0" w:type="dxa"/>
            </w:tcMar>
            <w:vAlign w:val="center"/>
          </w:tcPr>
          <w:p>
            <w:pPr>
              <w:pStyle w:val="TableContents"/>
              <w:bidi w:val="0"/>
              <w:spacing w:before="0" w:after="283"/>
              <w:jc w:val="left"/>
              <w:rPr/>
            </w:pPr>
            <w:r>
              <w:rPr/>
              <w:t>Research and development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11,704</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6" w:type="dxa"/>
            <w:tcBorders/>
            <w:shd w:fill="FFFFFF" w:val="clear"/>
            <w:tcMar>
              <w:bottom w:w="0" w:type="dxa"/>
            </w:tcMar>
            <w:vAlign w:val="center"/>
          </w:tcPr>
          <w:p>
            <w:pPr>
              <w:pStyle w:val="TableContents"/>
              <w:bidi w:val="0"/>
              <w:spacing w:before="0" w:after="283"/>
              <w:jc w:val="left"/>
              <w:rPr/>
            </w:pPr>
            <w:r>
              <w:rPr/>
              <w:t> </w:t>
            </w:r>
          </w:p>
        </w:tc>
        <w:tc>
          <w:tcPr>
            <w:tcW w:w="1039"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54"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3" w:type="dxa"/>
            <w:tcBorders/>
            <w:shd w:fill="FFFFFF" w:val="clear"/>
            <w:tcMar>
              <w:bottom w:w="0" w:type="dxa"/>
            </w:tcMar>
            <w:vAlign w:val="center"/>
          </w:tcPr>
          <w:p>
            <w:pPr>
              <w:pStyle w:val="TableContents"/>
              <w:bidi w:val="0"/>
              <w:spacing w:before="0" w:after="283"/>
              <w:jc w:val="left"/>
              <w:rPr/>
            </w:pPr>
            <w:r>
              <w:rPr/>
              <w:t> </w:t>
            </w:r>
          </w:p>
        </w:tc>
        <w:tc>
          <w:tcPr>
            <w:tcW w:w="875" w:type="dxa"/>
            <w:tcBorders/>
            <w:shd w:fill="FFFFFF" w:val="clear"/>
            <w:tcMar>
              <w:bottom w:w="0" w:type="dxa"/>
            </w:tcMar>
            <w:vAlign w:val="center"/>
          </w:tcPr>
          <w:p>
            <w:pPr>
              <w:pStyle w:val="TableContents"/>
              <w:bidi w:val="0"/>
              <w:spacing w:before="0" w:after="283"/>
              <w:jc w:val="right"/>
              <w:rPr/>
            </w:pPr>
            <w:r>
              <w:rPr/>
              <w:t>11,704</w:t>
            </w:r>
          </w:p>
        </w:tc>
        <w:tc>
          <w:tcPr>
            <w:tcW w:w="113" w:type="dxa"/>
            <w:tcBorders/>
            <w:shd w:fill="FFFFFF" w:val="clear"/>
            <w:tcMar>
              <w:bottom w:w="0" w:type="dxa"/>
            </w:tcMar>
            <w:vAlign w:val="center"/>
          </w:tcPr>
          <w:p>
            <w:pPr>
              <w:pStyle w:val="TableContents"/>
              <w:bidi w:val="0"/>
              <w:spacing w:before="0" w:after="283"/>
              <w:jc w:val="left"/>
              <w:rPr/>
            </w:pPr>
            <w:r>
              <w:rPr/>
              <w:t> </w:t>
            </w:r>
          </w:p>
        </w:tc>
      </w:tr>
      <w:tr>
        <w:trPr/>
        <w:tc>
          <w:tcPr>
            <w:tcW w:w="2974" w:type="dxa"/>
            <w:tcBorders/>
            <w:shd w:fill="CCEEFF" w:val="clear"/>
            <w:tcMar>
              <w:bottom w:w="0" w:type="dxa"/>
            </w:tcMar>
            <w:vAlign w:val="center"/>
          </w:tcPr>
          <w:p>
            <w:pPr>
              <w:pStyle w:val="TableContents"/>
              <w:bidi w:val="0"/>
              <w:spacing w:before="0" w:after="283"/>
              <w:jc w:val="left"/>
              <w:rPr/>
            </w:pPr>
            <w:r>
              <w:rPr/>
              <w:t>Selling, general and administrative</w:t>
            </w:r>
          </w:p>
        </w:tc>
        <w:tc>
          <w:tcPr>
            <w:tcW w:w="60" w:type="dxa"/>
            <w:tcBorders/>
            <w:shd w:fill="CCEEFF" w:val="clear"/>
            <w:tcMar>
              <w:bottom w:w="0" w:type="dxa"/>
            </w:tcMar>
            <w:vAlign w:val="center"/>
          </w:tcPr>
          <w:p>
            <w:pPr>
              <w:pStyle w:val="TableContents"/>
              <w:bidi w:val="0"/>
              <w:spacing w:before="0" w:after="283"/>
              <w:jc w:val="left"/>
              <w:rPr/>
            </w:pPr>
            <w:r>
              <w:rPr/>
              <w:t> </w:t>
            </w:r>
          </w:p>
        </w:tc>
        <w:tc>
          <w:tcPr>
            <w:tcW w:w="2901" w:type="dxa"/>
            <w:tcBorders/>
            <w:shd w:fill="CCEEFF" w:val="clear"/>
            <w:tcMar>
              <w:bottom w:w="0" w:type="dxa"/>
            </w:tcMar>
            <w:vAlign w:val="center"/>
          </w:tcPr>
          <w:p>
            <w:pPr>
              <w:pStyle w:val="TableContents"/>
              <w:bidi w:val="0"/>
              <w:spacing w:before="0" w:after="283"/>
              <w:jc w:val="left"/>
              <w:rPr/>
            </w:pPr>
            <w:r>
              <w:rPr/>
              <w:t>Selling, general, and administrative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112,823</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6" w:type="dxa"/>
            <w:tcBorders/>
            <w:shd w:fill="CCEEFF" w:val="clear"/>
            <w:tcMar>
              <w:bottom w:w="0" w:type="dxa"/>
            </w:tcMar>
            <w:vAlign w:val="center"/>
          </w:tcPr>
          <w:p>
            <w:pPr>
              <w:pStyle w:val="TableContents"/>
              <w:bidi w:val="0"/>
              <w:spacing w:before="0" w:after="283"/>
              <w:jc w:val="left"/>
              <w:rPr/>
            </w:pPr>
            <w:r>
              <w:rPr/>
              <w:t> </w:t>
            </w:r>
          </w:p>
        </w:tc>
        <w:tc>
          <w:tcPr>
            <w:tcW w:w="1039" w:type="dxa"/>
            <w:tcBorders/>
            <w:shd w:fill="CCEEFF" w:val="clear"/>
            <w:tcMar>
              <w:bottom w:w="0" w:type="dxa"/>
            </w:tcMar>
            <w:vAlign w:val="center"/>
          </w:tcPr>
          <w:p>
            <w:pPr>
              <w:pStyle w:val="TableContents"/>
              <w:bidi w:val="0"/>
              <w:spacing w:before="0" w:after="283"/>
              <w:jc w:val="right"/>
              <w:rPr/>
            </w:pPr>
            <w:r>
              <w:rPr/>
              <w:t>9,212</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54" w:type="dxa"/>
            <w:tcBorders/>
            <w:shd w:fill="CCEEFF" w:val="clear"/>
            <w:tcMar>
              <w:bottom w:w="0" w:type="dxa"/>
            </w:tcMar>
            <w:vAlign w:val="center"/>
          </w:tcPr>
          <w:p>
            <w:pPr>
              <w:pStyle w:val="TableContents"/>
              <w:bidi w:val="0"/>
              <w:spacing w:before="0" w:after="283"/>
              <w:jc w:val="center"/>
              <w:rPr/>
            </w:pPr>
            <w:r>
              <w:rPr/>
              <w:t>(b)</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3" w:type="dxa"/>
            <w:tcBorders/>
            <w:shd w:fill="CCEEFF" w:val="clear"/>
            <w:tcMar>
              <w:bottom w:w="0" w:type="dxa"/>
            </w:tcMar>
            <w:vAlign w:val="center"/>
          </w:tcPr>
          <w:p>
            <w:pPr>
              <w:pStyle w:val="TableContents"/>
              <w:bidi w:val="0"/>
              <w:spacing w:before="0" w:after="283"/>
              <w:jc w:val="left"/>
              <w:rPr/>
            </w:pPr>
            <w:r>
              <w:rPr/>
              <w:t> </w:t>
            </w:r>
          </w:p>
        </w:tc>
        <w:tc>
          <w:tcPr>
            <w:tcW w:w="875" w:type="dxa"/>
            <w:tcBorders/>
            <w:shd w:fill="CCEEFF" w:val="clear"/>
            <w:tcMar>
              <w:bottom w:w="0" w:type="dxa"/>
            </w:tcMar>
            <w:vAlign w:val="center"/>
          </w:tcPr>
          <w:p>
            <w:pPr>
              <w:pStyle w:val="TableContents"/>
              <w:bidi w:val="0"/>
              <w:spacing w:before="0" w:after="283"/>
              <w:jc w:val="right"/>
              <w:rPr/>
            </w:pPr>
            <w:r>
              <w:rPr/>
              <w:t>122,035</w:t>
            </w:r>
          </w:p>
        </w:tc>
        <w:tc>
          <w:tcPr>
            <w:tcW w:w="113" w:type="dxa"/>
            <w:tcBorders/>
            <w:shd w:fill="CCEEFF" w:val="clear"/>
            <w:tcMar>
              <w:bottom w:w="0" w:type="dxa"/>
            </w:tcMar>
            <w:vAlign w:val="center"/>
          </w:tcPr>
          <w:p>
            <w:pPr>
              <w:pStyle w:val="TableContents"/>
              <w:bidi w:val="0"/>
              <w:spacing w:before="0" w:after="283"/>
              <w:jc w:val="left"/>
              <w:rPr/>
            </w:pPr>
            <w:r>
              <w:rPr/>
              <w:t> </w:t>
            </w:r>
          </w:p>
        </w:tc>
      </w:tr>
      <w:tr>
        <w:trPr/>
        <w:tc>
          <w:tcPr>
            <w:tcW w:w="2974"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901" w:type="dxa"/>
            <w:tcBorders/>
            <w:shd w:fill="FFFFFF" w:val="clear"/>
            <w:tcMar>
              <w:bottom w:w="0" w:type="dxa"/>
            </w:tcMar>
            <w:vAlign w:val="center"/>
          </w:tcPr>
          <w:p>
            <w:pPr>
              <w:pStyle w:val="TableContents"/>
              <w:bidi w:val="0"/>
              <w:spacing w:before="0" w:after="283"/>
              <w:jc w:val="left"/>
              <w:rPr/>
            </w:pPr>
            <w:r>
              <w:rPr/>
              <w:t>Depreciation and amortization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107,604</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6" w:type="dxa"/>
            <w:tcBorders/>
            <w:shd w:fill="FFFFFF" w:val="clear"/>
            <w:tcMar>
              <w:bottom w:w="0" w:type="dxa"/>
            </w:tcMar>
            <w:vAlign w:val="center"/>
          </w:tcPr>
          <w:p>
            <w:pPr>
              <w:pStyle w:val="TableContents"/>
              <w:bidi w:val="0"/>
              <w:spacing w:before="0" w:after="283"/>
              <w:jc w:val="left"/>
              <w:rPr/>
            </w:pPr>
            <w:r>
              <w:rPr/>
              <w:t> </w:t>
            </w:r>
          </w:p>
        </w:tc>
        <w:tc>
          <w:tcPr>
            <w:tcW w:w="1039" w:type="dxa"/>
            <w:tcBorders/>
            <w:shd w:fill="FFFFFF" w:val="clear"/>
            <w:tcMar>
              <w:bottom w:w="0" w:type="dxa"/>
            </w:tcMar>
            <w:vAlign w:val="center"/>
          </w:tcPr>
          <w:p>
            <w:pPr>
              <w:pStyle w:val="TableContents"/>
              <w:bidi w:val="0"/>
              <w:spacing w:before="0" w:after="283"/>
              <w:jc w:val="right"/>
              <w:rPr/>
            </w:pPr>
            <w:r>
              <w:rPr/>
              <w:t>(107,604</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554" w:type="dxa"/>
            <w:tcBorders/>
            <w:shd w:fill="FFFFFF" w:val="clear"/>
            <w:tcMar>
              <w:bottom w:w="0" w:type="dxa"/>
            </w:tcMar>
            <w:vAlign w:val="center"/>
          </w:tcPr>
          <w:p>
            <w:pPr>
              <w:pStyle w:val="TableContents"/>
              <w:bidi w:val="0"/>
              <w:spacing w:before="0" w:after="283"/>
              <w:jc w:val="center"/>
              <w:rPr/>
            </w:pPr>
            <w:r>
              <w:rPr/>
              <w:t>(b)</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3" w:type="dxa"/>
            <w:tcBorders/>
            <w:shd w:fill="FFFFFF" w:val="clear"/>
            <w:tcMar>
              <w:bottom w:w="0" w:type="dxa"/>
            </w:tcMar>
            <w:vAlign w:val="center"/>
          </w:tcPr>
          <w:p>
            <w:pPr>
              <w:pStyle w:val="TableContents"/>
              <w:bidi w:val="0"/>
              <w:spacing w:before="0" w:after="283"/>
              <w:jc w:val="left"/>
              <w:rPr/>
            </w:pPr>
            <w:r>
              <w:rPr/>
              <w:t> </w:t>
            </w:r>
          </w:p>
        </w:tc>
        <w:tc>
          <w:tcPr>
            <w:tcW w:w="875" w:type="dxa"/>
            <w:tcBorders/>
            <w:shd w:fill="FFFFFF" w:val="clear"/>
            <w:tcMar>
              <w:bottom w:w="0" w:type="dxa"/>
            </w:tcMar>
            <w:vAlign w:val="center"/>
          </w:tcPr>
          <w:p>
            <w:pPr>
              <w:pStyle w:val="TableContents"/>
              <w:bidi w:val="0"/>
              <w:spacing w:before="0" w:after="283"/>
              <w:jc w:val="right"/>
              <w:rPr/>
            </w:pPr>
            <w:r>
              <w:rPr/>
              <w:t>—</w:t>
            </w:r>
          </w:p>
        </w:tc>
        <w:tc>
          <w:tcPr>
            <w:tcW w:w="113" w:type="dxa"/>
            <w:tcBorders/>
            <w:shd w:fill="FFFFFF" w:val="clear"/>
            <w:tcMar>
              <w:bottom w:w="0" w:type="dxa"/>
            </w:tcMar>
            <w:vAlign w:val="center"/>
          </w:tcPr>
          <w:p>
            <w:pPr>
              <w:pStyle w:val="TableContents"/>
              <w:bidi w:val="0"/>
              <w:spacing w:before="0" w:after="283"/>
              <w:jc w:val="left"/>
              <w:rPr/>
            </w:pPr>
            <w:r>
              <w:rPr/>
              <w:t> </w:t>
            </w:r>
          </w:p>
        </w:tc>
      </w:tr>
      <w:tr>
        <w:trPr/>
        <w:tc>
          <w:tcPr>
            <w:tcW w:w="2974" w:type="dxa"/>
            <w:tcBorders/>
            <w:shd w:fill="CCEEFF" w:val="clear"/>
            <w:tcMar>
              <w:bottom w:w="0" w:type="dxa"/>
            </w:tcMar>
            <w:vAlign w:val="center"/>
          </w:tcPr>
          <w:p>
            <w:pPr>
              <w:pStyle w:val="TableContents"/>
              <w:bidi w:val="0"/>
              <w:spacing w:before="0" w:after="283"/>
              <w:jc w:val="left"/>
              <w:rPr/>
            </w:pPr>
            <w:r>
              <w:rPr/>
              <w:t>Interest expense</w:t>
            </w:r>
          </w:p>
        </w:tc>
        <w:tc>
          <w:tcPr>
            <w:tcW w:w="60" w:type="dxa"/>
            <w:tcBorders/>
            <w:shd w:fill="CCEEFF" w:val="clear"/>
            <w:tcMar>
              <w:bottom w:w="0" w:type="dxa"/>
            </w:tcMar>
            <w:vAlign w:val="center"/>
          </w:tcPr>
          <w:p>
            <w:pPr>
              <w:pStyle w:val="TableContents"/>
              <w:bidi w:val="0"/>
              <w:spacing w:before="0" w:after="283"/>
              <w:jc w:val="left"/>
              <w:rPr/>
            </w:pPr>
            <w:r>
              <w:rPr/>
              <w:t> </w:t>
            </w:r>
          </w:p>
        </w:tc>
        <w:tc>
          <w:tcPr>
            <w:tcW w:w="2901" w:type="dxa"/>
            <w:tcBorders/>
            <w:shd w:fill="CCEEFF" w:val="clear"/>
            <w:tcMar>
              <w:bottom w:w="0" w:type="dxa"/>
            </w:tcMar>
            <w:vAlign w:val="center"/>
          </w:tcPr>
          <w:p>
            <w:pPr>
              <w:pStyle w:val="TableContents"/>
              <w:bidi w:val="0"/>
              <w:spacing w:before="0" w:after="283"/>
              <w:jc w:val="left"/>
              <w:rPr/>
            </w:pPr>
            <w:r>
              <w:rPr/>
              <w:t>Interest expense, net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(38,612</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6" w:type="dxa"/>
            <w:tcBorders/>
            <w:shd w:fill="CCEEFF" w:val="clear"/>
            <w:tcMar>
              <w:bottom w:w="0" w:type="dxa"/>
            </w:tcMar>
            <w:vAlign w:val="center"/>
          </w:tcPr>
          <w:p>
            <w:pPr>
              <w:pStyle w:val="TableContents"/>
              <w:bidi w:val="0"/>
              <w:spacing w:before="0" w:after="283"/>
              <w:jc w:val="left"/>
              <w:rPr/>
            </w:pPr>
            <w:r>
              <w:rPr/>
              <w:t> </w:t>
            </w:r>
          </w:p>
        </w:tc>
        <w:tc>
          <w:tcPr>
            <w:tcW w:w="1039" w:type="dxa"/>
            <w:tcBorders/>
            <w:shd w:fill="CCEEFF" w:val="clear"/>
            <w:tcMar>
              <w:bottom w:w="0" w:type="dxa"/>
            </w:tcMar>
            <w:vAlign w:val="center"/>
          </w:tcPr>
          <w:p>
            <w:pPr>
              <w:pStyle w:val="TableContents"/>
              <w:bidi w:val="0"/>
              <w:spacing w:before="0" w:after="283"/>
              <w:jc w:val="right"/>
              <w:rPr/>
            </w:pPr>
            <w:r>
              <w:rPr/>
              <w:t>(3,247</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554" w:type="dxa"/>
            <w:tcBorders/>
            <w:shd w:fill="CCEEFF" w:val="clear"/>
            <w:tcMar>
              <w:bottom w:w="0" w:type="dxa"/>
            </w:tcMar>
            <w:vAlign w:val="center"/>
          </w:tcPr>
          <w:p>
            <w:pPr>
              <w:pStyle w:val="TableContents"/>
              <w:bidi w:val="0"/>
              <w:spacing w:before="0" w:after="283"/>
              <w:jc w:val="center"/>
              <w:rPr/>
            </w:pPr>
            <w:r>
              <w:rPr/>
              <w:t>(c)</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3" w:type="dxa"/>
            <w:tcBorders/>
            <w:shd w:fill="CCEEFF" w:val="clear"/>
            <w:tcMar>
              <w:bottom w:w="0" w:type="dxa"/>
            </w:tcMar>
            <w:vAlign w:val="center"/>
          </w:tcPr>
          <w:p>
            <w:pPr>
              <w:pStyle w:val="TableContents"/>
              <w:bidi w:val="0"/>
              <w:spacing w:before="0" w:after="283"/>
              <w:jc w:val="left"/>
              <w:rPr/>
            </w:pPr>
            <w:r>
              <w:rPr/>
              <w:t> </w:t>
            </w:r>
          </w:p>
        </w:tc>
        <w:tc>
          <w:tcPr>
            <w:tcW w:w="875" w:type="dxa"/>
            <w:tcBorders/>
            <w:shd w:fill="CCEEFF" w:val="clear"/>
            <w:tcMar>
              <w:bottom w:w="0" w:type="dxa"/>
            </w:tcMar>
            <w:vAlign w:val="center"/>
          </w:tcPr>
          <w:p>
            <w:pPr>
              <w:pStyle w:val="TableContents"/>
              <w:bidi w:val="0"/>
              <w:spacing w:before="0" w:after="283"/>
              <w:jc w:val="right"/>
              <w:rPr/>
            </w:pPr>
            <w:r>
              <w:rPr/>
              <w:t>(41,859</w:t>
            </w:r>
          </w:p>
        </w:tc>
        <w:tc>
          <w:tcPr>
            <w:tcW w:w="113" w:type="dxa"/>
            <w:tcBorders/>
            <w:shd w:fill="CCEEFF" w:val="clear"/>
            <w:tcMar>
              <w:bottom w:w="0" w:type="dxa"/>
            </w:tcMar>
            <w:vAlign w:val="center"/>
          </w:tcPr>
          <w:p>
            <w:pPr>
              <w:pStyle w:val="TableContents"/>
              <w:bidi w:val="0"/>
              <w:spacing w:before="0" w:after="283"/>
              <w:jc w:val="left"/>
              <w:rPr/>
            </w:pPr>
            <w:r>
              <w:rPr/>
              <w:t>)</w:t>
            </w:r>
          </w:p>
        </w:tc>
      </w:tr>
      <w:tr>
        <w:trPr/>
        <w:tc>
          <w:tcPr>
            <w:tcW w:w="2974" w:type="dxa"/>
            <w:tcBorders/>
            <w:shd w:fill="FFFFFF" w:val="clear"/>
            <w:tcMar>
              <w:bottom w:w="0" w:type="dxa"/>
            </w:tcMar>
            <w:vAlign w:val="center"/>
          </w:tcPr>
          <w:p>
            <w:pPr>
              <w:pStyle w:val="TableContents"/>
              <w:bidi w:val="0"/>
              <w:spacing w:before="0" w:after="283"/>
              <w:jc w:val="left"/>
              <w:rPr/>
            </w:pPr>
            <w:r>
              <w:rPr/>
              <w:t>Interest income</w:t>
            </w:r>
          </w:p>
        </w:tc>
        <w:tc>
          <w:tcPr>
            <w:tcW w:w="60" w:type="dxa"/>
            <w:tcBorders/>
            <w:shd w:fill="FFFFFF" w:val="clear"/>
            <w:tcMar>
              <w:bottom w:w="0" w:type="dxa"/>
            </w:tcMar>
            <w:vAlign w:val="center"/>
          </w:tcPr>
          <w:p>
            <w:pPr>
              <w:pStyle w:val="TableContents"/>
              <w:bidi w:val="0"/>
              <w:spacing w:before="0" w:after="283"/>
              <w:jc w:val="left"/>
              <w:rPr/>
            </w:pPr>
            <w:r>
              <w:rPr/>
              <w:t> </w:t>
            </w:r>
          </w:p>
        </w:tc>
        <w:tc>
          <w:tcPr>
            <w:tcW w:w="2901"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6" w:type="dxa"/>
            <w:tcBorders/>
            <w:shd w:fill="FFFFFF" w:val="clear"/>
            <w:tcMar>
              <w:bottom w:w="0" w:type="dxa"/>
            </w:tcMar>
            <w:vAlign w:val="center"/>
          </w:tcPr>
          <w:p>
            <w:pPr>
              <w:pStyle w:val="TableContents"/>
              <w:bidi w:val="0"/>
              <w:spacing w:before="0" w:after="283"/>
              <w:jc w:val="left"/>
              <w:rPr/>
            </w:pPr>
            <w:r>
              <w:rPr/>
              <w:t> </w:t>
            </w:r>
          </w:p>
        </w:tc>
        <w:tc>
          <w:tcPr>
            <w:tcW w:w="1039" w:type="dxa"/>
            <w:tcBorders/>
            <w:shd w:fill="FFFFFF" w:val="clear"/>
            <w:tcMar>
              <w:bottom w:w="0" w:type="dxa"/>
            </w:tcMar>
            <w:vAlign w:val="center"/>
          </w:tcPr>
          <w:p>
            <w:pPr>
              <w:pStyle w:val="TableContents"/>
              <w:bidi w:val="0"/>
              <w:spacing w:before="0" w:after="283"/>
              <w:jc w:val="right"/>
              <w:rPr/>
            </w:pPr>
            <w:r>
              <w:rPr/>
              <w:t>3,247</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54" w:type="dxa"/>
            <w:tcBorders/>
            <w:shd w:fill="FFFFFF" w:val="clear"/>
            <w:tcMar>
              <w:bottom w:w="0" w:type="dxa"/>
            </w:tcMar>
            <w:vAlign w:val="center"/>
          </w:tcPr>
          <w:p>
            <w:pPr>
              <w:pStyle w:val="TableContents"/>
              <w:bidi w:val="0"/>
              <w:spacing w:before="0" w:after="283"/>
              <w:jc w:val="center"/>
              <w:rPr/>
            </w:pPr>
            <w:r>
              <w:rPr/>
              <w:t>(c)</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3" w:type="dxa"/>
            <w:tcBorders/>
            <w:shd w:fill="FFFFFF" w:val="clear"/>
            <w:tcMar>
              <w:bottom w:w="0" w:type="dxa"/>
            </w:tcMar>
            <w:vAlign w:val="center"/>
          </w:tcPr>
          <w:p>
            <w:pPr>
              <w:pStyle w:val="TableContents"/>
              <w:bidi w:val="0"/>
              <w:spacing w:before="0" w:after="283"/>
              <w:jc w:val="left"/>
              <w:rPr/>
            </w:pPr>
            <w:r>
              <w:rPr/>
              <w:t> </w:t>
            </w:r>
          </w:p>
        </w:tc>
        <w:tc>
          <w:tcPr>
            <w:tcW w:w="875" w:type="dxa"/>
            <w:tcBorders/>
            <w:shd w:fill="FFFFFF" w:val="clear"/>
            <w:tcMar>
              <w:bottom w:w="0" w:type="dxa"/>
            </w:tcMar>
            <w:vAlign w:val="center"/>
          </w:tcPr>
          <w:p>
            <w:pPr>
              <w:pStyle w:val="TableContents"/>
              <w:bidi w:val="0"/>
              <w:spacing w:before="0" w:after="283"/>
              <w:jc w:val="right"/>
              <w:rPr/>
            </w:pPr>
            <w:r>
              <w:rPr/>
              <w:t>3,247</w:t>
            </w:r>
          </w:p>
        </w:tc>
        <w:tc>
          <w:tcPr>
            <w:tcW w:w="113" w:type="dxa"/>
            <w:tcBorders/>
            <w:shd w:fill="FFFFFF" w:val="clear"/>
            <w:tcMar>
              <w:bottom w:w="0" w:type="dxa"/>
            </w:tcMar>
            <w:vAlign w:val="center"/>
          </w:tcPr>
          <w:p>
            <w:pPr>
              <w:pStyle w:val="TableContents"/>
              <w:bidi w:val="0"/>
              <w:spacing w:before="0" w:after="283"/>
              <w:jc w:val="left"/>
              <w:rPr/>
            </w:pPr>
            <w:r>
              <w:rPr/>
              <w:t> </w:t>
            </w:r>
          </w:p>
        </w:tc>
      </w:tr>
      <w:tr>
        <w:trPr/>
        <w:tc>
          <w:tcPr>
            <w:tcW w:w="2974" w:type="dxa"/>
            <w:tcBorders/>
            <w:shd w:fill="CCEEFF" w:val="clear"/>
            <w:tcMar>
              <w:bottom w:w="0" w:type="dxa"/>
            </w:tcMar>
            <w:vAlign w:val="center"/>
          </w:tcPr>
          <w:p>
            <w:pPr>
              <w:pStyle w:val="TableContents"/>
              <w:bidi w:val="0"/>
              <w:spacing w:before="0" w:after="283"/>
              <w:jc w:val="left"/>
              <w:rPr/>
            </w:pPr>
            <w:r>
              <w:rPr/>
              <w:t>Loss on foreign exchange</w:t>
            </w:r>
          </w:p>
        </w:tc>
        <w:tc>
          <w:tcPr>
            <w:tcW w:w="60" w:type="dxa"/>
            <w:tcBorders/>
            <w:shd w:fill="CCEEFF" w:val="clear"/>
            <w:tcMar>
              <w:bottom w:w="0" w:type="dxa"/>
            </w:tcMar>
            <w:vAlign w:val="center"/>
          </w:tcPr>
          <w:p>
            <w:pPr>
              <w:pStyle w:val="TableContents"/>
              <w:bidi w:val="0"/>
              <w:spacing w:before="0" w:after="283"/>
              <w:jc w:val="left"/>
              <w:rPr/>
            </w:pPr>
            <w:r>
              <w:rPr/>
              <w:t> </w:t>
            </w:r>
          </w:p>
        </w:tc>
        <w:tc>
          <w:tcPr>
            <w:tcW w:w="2901"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6" w:type="dxa"/>
            <w:tcBorders/>
            <w:shd w:fill="CCEEFF" w:val="clear"/>
            <w:tcMar>
              <w:bottom w:w="0" w:type="dxa"/>
            </w:tcMar>
            <w:vAlign w:val="center"/>
          </w:tcPr>
          <w:p>
            <w:pPr>
              <w:pStyle w:val="TableContents"/>
              <w:bidi w:val="0"/>
              <w:spacing w:before="0" w:after="283"/>
              <w:jc w:val="left"/>
              <w:rPr/>
            </w:pPr>
            <w:r>
              <w:rPr/>
              <w:t> </w:t>
            </w:r>
          </w:p>
        </w:tc>
        <w:tc>
          <w:tcPr>
            <w:tcW w:w="1039" w:type="dxa"/>
            <w:tcBorders/>
            <w:shd w:fill="CCEEFF" w:val="clear"/>
            <w:tcMar>
              <w:bottom w:w="0" w:type="dxa"/>
            </w:tcMar>
            <w:vAlign w:val="center"/>
          </w:tcPr>
          <w:p>
            <w:pPr>
              <w:pStyle w:val="TableContents"/>
              <w:bidi w:val="0"/>
              <w:spacing w:before="0" w:after="283"/>
              <w:jc w:val="right"/>
              <w:rPr/>
            </w:pPr>
            <w:r>
              <w:rPr/>
              <w:t>(645</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554" w:type="dxa"/>
            <w:tcBorders/>
            <w:shd w:fill="CCEEFF" w:val="clear"/>
            <w:tcMar>
              <w:bottom w:w="0" w:type="dxa"/>
            </w:tcMar>
            <w:vAlign w:val="center"/>
          </w:tcPr>
          <w:p>
            <w:pPr>
              <w:pStyle w:val="TableContents"/>
              <w:bidi w:val="0"/>
              <w:spacing w:before="0" w:after="283"/>
              <w:jc w:val="center"/>
              <w:rPr/>
            </w:pPr>
            <w:r>
              <w:rPr/>
              <w: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3" w:type="dxa"/>
            <w:tcBorders/>
            <w:shd w:fill="CCEEFF" w:val="clear"/>
            <w:tcMar>
              <w:bottom w:w="0" w:type="dxa"/>
            </w:tcMar>
            <w:vAlign w:val="center"/>
          </w:tcPr>
          <w:p>
            <w:pPr>
              <w:pStyle w:val="TableContents"/>
              <w:bidi w:val="0"/>
              <w:spacing w:before="0" w:after="283"/>
              <w:jc w:val="left"/>
              <w:rPr/>
            </w:pPr>
            <w:r>
              <w:rPr/>
              <w:t> </w:t>
            </w:r>
          </w:p>
        </w:tc>
        <w:tc>
          <w:tcPr>
            <w:tcW w:w="875" w:type="dxa"/>
            <w:tcBorders/>
            <w:shd w:fill="CCEEFF" w:val="clear"/>
            <w:tcMar>
              <w:bottom w:w="0" w:type="dxa"/>
            </w:tcMar>
            <w:vAlign w:val="center"/>
          </w:tcPr>
          <w:p>
            <w:pPr>
              <w:pStyle w:val="TableContents"/>
              <w:bidi w:val="0"/>
              <w:spacing w:before="0" w:after="283"/>
              <w:jc w:val="right"/>
              <w:rPr/>
            </w:pPr>
            <w:r>
              <w:rPr/>
              <w:t>(645</w:t>
            </w:r>
          </w:p>
        </w:tc>
        <w:tc>
          <w:tcPr>
            <w:tcW w:w="113" w:type="dxa"/>
            <w:tcBorders/>
            <w:shd w:fill="CCEEFF" w:val="clear"/>
            <w:tcMar>
              <w:bottom w:w="0" w:type="dxa"/>
            </w:tcMar>
            <w:vAlign w:val="center"/>
          </w:tcPr>
          <w:p>
            <w:pPr>
              <w:pStyle w:val="TableContents"/>
              <w:bidi w:val="0"/>
              <w:spacing w:before="0" w:after="283"/>
              <w:jc w:val="left"/>
              <w:rPr/>
            </w:pPr>
            <w:r>
              <w:rPr/>
              <w:t>)</w:t>
            </w:r>
          </w:p>
        </w:tc>
      </w:tr>
      <w:tr>
        <w:trPr/>
        <w:tc>
          <w:tcPr>
            <w:tcW w:w="2974" w:type="dxa"/>
            <w:tcBorders/>
            <w:shd w:fill="FFFFFF" w:val="clear"/>
            <w:tcMar>
              <w:bottom w:w="0" w:type="dxa"/>
            </w:tcMar>
            <w:vAlign w:val="center"/>
          </w:tcPr>
          <w:p>
            <w:pPr>
              <w:pStyle w:val="TableContents"/>
              <w:bidi w:val="0"/>
              <w:spacing w:before="0" w:after="283"/>
              <w:jc w:val="left"/>
              <w:rPr/>
            </w:pPr>
            <w:r>
              <w:rPr/>
              <w:t>Other income, net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901" w:type="dxa"/>
            <w:tcBorders/>
            <w:shd w:fill="FFFFFF" w:val="clear"/>
            <w:tcMar>
              <w:bottom w:w="0" w:type="dxa"/>
            </w:tcMar>
            <w:vAlign w:val="center"/>
          </w:tcPr>
          <w:p>
            <w:pPr>
              <w:pStyle w:val="TableContents"/>
              <w:bidi w:val="0"/>
              <w:spacing w:before="0" w:after="283"/>
              <w:jc w:val="left"/>
              <w:rPr/>
            </w:pPr>
            <w:r>
              <w:rPr/>
              <w:t>Other expense, net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(642</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6" w:type="dxa"/>
            <w:tcBorders/>
            <w:shd w:fill="FFFFFF" w:val="clear"/>
            <w:tcMar>
              <w:bottom w:w="0" w:type="dxa"/>
            </w:tcMar>
            <w:vAlign w:val="center"/>
          </w:tcPr>
          <w:p>
            <w:pPr>
              <w:pStyle w:val="TableContents"/>
              <w:bidi w:val="0"/>
              <w:spacing w:before="0" w:after="283"/>
              <w:jc w:val="left"/>
              <w:rPr/>
            </w:pPr>
            <w:r>
              <w:rPr/>
              <w:t> </w:t>
            </w:r>
          </w:p>
        </w:tc>
        <w:tc>
          <w:tcPr>
            <w:tcW w:w="1039" w:type="dxa"/>
            <w:tcBorders/>
            <w:shd w:fill="FFFFFF" w:val="clear"/>
            <w:tcMar>
              <w:bottom w:w="0" w:type="dxa"/>
            </w:tcMar>
            <w:vAlign w:val="center"/>
          </w:tcPr>
          <w:p>
            <w:pPr>
              <w:pStyle w:val="TableContents"/>
              <w:bidi w:val="0"/>
              <w:spacing w:before="0" w:after="283"/>
              <w:jc w:val="right"/>
              <w:rPr/>
            </w:pPr>
            <w:r>
              <w:rPr/>
              <w:t>(1,597</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554" w:type="dxa"/>
            <w:tcBorders/>
            <w:shd w:fill="FFFFFF" w:val="clear"/>
            <w:tcMar>
              <w:bottom w:w="0" w:type="dxa"/>
            </w:tcMar>
            <w:vAlign w:val="center"/>
          </w:tcPr>
          <w:p>
            <w:pPr>
              <w:pStyle w:val="TableContents"/>
              <w:bidi w:val="0"/>
              <w:spacing w:before="0" w:after="283"/>
              <w:jc w:val="center"/>
              <w:rPr/>
            </w:pPr>
            <w:r>
              <w:rPr/>
              <w:t>(d) (e)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3" w:type="dxa"/>
            <w:tcBorders/>
            <w:shd w:fill="FFFFFF" w:val="clear"/>
            <w:tcMar>
              <w:bottom w:w="0" w:type="dxa"/>
            </w:tcMar>
            <w:vAlign w:val="center"/>
          </w:tcPr>
          <w:p>
            <w:pPr>
              <w:pStyle w:val="TableContents"/>
              <w:bidi w:val="0"/>
              <w:spacing w:before="0" w:after="283"/>
              <w:jc w:val="left"/>
              <w:rPr/>
            </w:pPr>
            <w:r>
              <w:rPr/>
              <w:t> </w:t>
            </w:r>
          </w:p>
        </w:tc>
        <w:tc>
          <w:tcPr>
            <w:tcW w:w="875" w:type="dxa"/>
            <w:tcBorders/>
            <w:shd w:fill="FFFFFF" w:val="clear"/>
            <w:tcMar>
              <w:bottom w:w="0" w:type="dxa"/>
            </w:tcMar>
            <w:vAlign w:val="center"/>
          </w:tcPr>
          <w:p>
            <w:pPr>
              <w:pStyle w:val="TableContents"/>
              <w:bidi w:val="0"/>
              <w:spacing w:before="0" w:after="283"/>
              <w:jc w:val="right"/>
              <w:rPr/>
            </w:pPr>
            <w:r>
              <w:rPr/>
              <w:t>(2,239</w:t>
            </w:r>
          </w:p>
        </w:tc>
        <w:tc>
          <w:tcPr>
            <w:tcW w:w="113" w:type="dxa"/>
            <w:tcBorders/>
            <w:shd w:fill="FFFFFF" w:val="clear"/>
            <w:tcMar>
              <w:bottom w:w="0" w:type="dxa"/>
            </w:tcMar>
            <w:vAlign w:val="center"/>
          </w:tcPr>
          <w:p>
            <w:pPr>
              <w:pStyle w:val="TableContents"/>
              <w:bidi w:val="0"/>
              <w:spacing w:before="0" w:after="283"/>
              <w:jc w:val="left"/>
              <w:rPr/>
            </w:pPr>
            <w:r>
              <w:rPr/>
              <w:t>)</w:t>
            </w:r>
          </w:p>
        </w:tc>
      </w:tr>
      <w:tr>
        <w:trPr/>
        <w:tc>
          <w:tcPr>
            <w:tcW w:w="2974"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901" w:type="dxa"/>
            <w:tcBorders/>
            <w:shd w:fill="CCEEFF" w:val="clear"/>
            <w:tcMar>
              <w:bottom w:w="0" w:type="dxa"/>
            </w:tcMar>
            <w:vAlign w:val="center"/>
          </w:tcPr>
          <w:p>
            <w:pPr>
              <w:pStyle w:val="TableContents"/>
              <w:bidi w:val="0"/>
              <w:spacing w:before="0" w:after="283"/>
              <w:jc w:val="left"/>
              <w:rPr/>
            </w:pPr>
            <w:r>
              <w:rPr/>
              <w:t>Loss on equity method investments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(2,242</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6" w:type="dxa"/>
            <w:tcBorders/>
            <w:shd w:fill="CCEEFF" w:val="clear"/>
            <w:tcMar>
              <w:bottom w:w="0" w:type="dxa"/>
            </w:tcMar>
            <w:vAlign w:val="center"/>
          </w:tcPr>
          <w:p>
            <w:pPr>
              <w:pStyle w:val="TableContents"/>
              <w:bidi w:val="0"/>
              <w:spacing w:before="0" w:after="283"/>
              <w:jc w:val="left"/>
              <w:rPr/>
            </w:pPr>
            <w:r>
              <w:rPr/>
              <w:t> </w:t>
            </w:r>
          </w:p>
        </w:tc>
        <w:tc>
          <w:tcPr>
            <w:tcW w:w="1039" w:type="dxa"/>
            <w:tcBorders/>
            <w:shd w:fill="CCEEFF" w:val="clear"/>
            <w:tcMar>
              <w:bottom w:w="0" w:type="dxa"/>
            </w:tcMar>
            <w:vAlign w:val="center"/>
          </w:tcPr>
          <w:p>
            <w:pPr>
              <w:pStyle w:val="TableContents"/>
              <w:bidi w:val="0"/>
              <w:spacing w:before="0" w:after="283"/>
              <w:jc w:val="right"/>
              <w:rPr/>
            </w:pPr>
            <w:r>
              <w:rPr/>
              <w:t>2,242</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54" w:type="dxa"/>
            <w:tcBorders/>
            <w:shd w:fill="CCEEFF" w:val="clear"/>
            <w:tcMar>
              <w:bottom w:w="0" w:type="dxa"/>
            </w:tcMar>
            <w:vAlign w:val="center"/>
          </w:tcPr>
          <w:p>
            <w:pPr>
              <w:pStyle w:val="TableContents"/>
              <w:bidi w:val="0"/>
              <w:spacing w:before="0" w:after="283"/>
              <w:jc w:val="center"/>
              <w:rPr/>
            </w:pPr>
            <w:r>
              <w:rPr/>
              <w:t>(e)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3" w:type="dxa"/>
            <w:tcBorders/>
            <w:shd w:fill="CCEEFF" w:val="clear"/>
            <w:tcMar>
              <w:bottom w:w="0" w:type="dxa"/>
            </w:tcMar>
            <w:vAlign w:val="center"/>
          </w:tcPr>
          <w:p>
            <w:pPr>
              <w:pStyle w:val="TableContents"/>
              <w:bidi w:val="0"/>
              <w:spacing w:before="0" w:after="283"/>
              <w:jc w:val="left"/>
              <w:rPr/>
            </w:pPr>
            <w:r>
              <w:rPr/>
              <w:t> </w:t>
            </w:r>
          </w:p>
        </w:tc>
        <w:tc>
          <w:tcPr>
            <w:tcW w:w="875" w:type="dxa"/>
            <w:tcBorders/>
            <w:shd w:fill="CCEEFF" w:val="clear"/>
            <w:tcMar>
              <w:bottom w:w="0" w:type="dxa"/>
            </w:tcMar>
            <w:vAlign w:val="center"/>
          </w:tcPr>
          <w:p>
            <w:pPr>
              <w:pStyle w:val="TableContents"/>
              <w:bidi w:val="0"/>
              <w:spacing w:before="0" w:after="283"/>
              <w:jc w:val="right"/>
              <w:rPr/>
            </w:pPr>
            <w:r>
              <w:rPr/>
              <w:t>—</w:t>
            </w:r>
          </w:p>
        </w:tc>
        <w:tc>
          <w:tcPr>
            <w:tcW w:w="113" w:type="dxa"/>
            <w:tcBorders/>
            <w:shd w:fill="CCEEFF" w:val="clear"/>
            <w:tcMar>
              <w:bottom w:w="0" w:type="dxa"/>
            </w:tcMar>
            <w:vAlign w:val="center"/>
          </w:tcPr>
          <w:p>
            <w:pPr>
              <w:pStyle w:val="TableContents"/>
              <w:bidi w:val="0"/>
              <w:spacing w:before="0" w:after="283"/>
              <w:jc w:val="left"/>
              <w:rPr/>
            </w:pPr>
            <w:r>
              <w:rPr/>
              <w:t> </w:t>
            </w:r>
          </w:p>
        </w:tc>
      </w:tr>
      <w:tr>
        <w:trPr/>
        <w:tc>
          <w:tcPr>
            <w:tcW w:w="2974" w:type="dxa"/>
            <w:tcBorders/>
            <w:shd w:fill="FFFFFF" w:val="clear"/>
            <w:tcMar>
              <w:bottom w:w="0" w:type="dxa"/>
            </w:tcMar>
            <w:vAlign w:val="center"/>
          </w:tcPr>
          <w:p>
            <w:pPr>
              <w:pStyle w:val="TableContents"/>
              <w:bidi w:val="0"/>
              <w:spacing w:before="0" w:after="283"/>
              <w:jc w:val="left"/>
              <w:rPr/>
            </w:pPr>
            <w:r>
              <w:rPr/>
              <w:t>Benefit (provision) for income taxes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901" w:type="dxa"/>
            <w:tcBorders/>
            <w:shd w:fill="FFFFFF" w:val="clear"/>
            <w:tcMar>
              <w:bottom w:w="0" w:type="dxa"/>
            </w:tcMar>
            <w:vAlign w:val="center"/>
          </w:tcPr>
          <w:p>
            <w:pPr>
              <w:pStyle w:val="TableContents"/>
              <w:bidi w:val="0"/>
              <w:spacing w:before="0" w:after="283"/>
              <w:jc w:val="left"/>
              <w:rPr/>
            </w:pPr>
            <w:r>
              <w:rPr/>
              <w:t>Income tax expense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(11,952</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6" w:type="dxa"/>
            <w:tcBorders/>
            <w:shd w:fill="FFFFFF" w:val="clear"/>
            <w:tcMar>
              <w:bottom w:w="0" w:type="dxa"/>
            </w:tcMar>
            <w:vAlign w:val="center"/>
          </w:tcPr>
          <w:p>
            <w:pPr>
              <w:pStyle w:val="TableContents"/>
              <w:bidi w:val="0"/>
              <w:spacing w:before="0" w:after="283"/>
              <w:jc w:val="left"/>
              <w:rPr/>
            </w:pPr>
            <w:r>
              <w:rPr/>
              <w:t> </w:t>
            </w:r>
          </w:p>
        </w:tc>
        <w:tc>
          <w:tcPr>
            <w:tcW w:w="1039"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54"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3" w:type="dxa"/>
            <w:tcBorders/>
            <w:shd w:fill="FFFFFF" w:val="clear"/>
            <w:tcMar>
              <w:bottom w:w="0" w:type="dxa"/>
            </w:tcMar>
            <w:vAlign w:val="center"/>
          </w:tcPr>
          <w:p>
            <w:pPr>
              <w:pStyle w:val="TableContents"/>
              <w:bidi w:val="0"/>
              <w:spacing w:before="0" w:after="283"/>
              <w:jc w:val="left"/>
              <w:rPr/>
            </w:pPr>
            <w:r>
              <w:rPr/>
              <w:t> </w:t>
            </w:r>
          </w:p>
        </w:tc>
        <w:tc>
          <w:tcPr>
            <w:tcW w:w="875" w:type="dxa"/>
            <w:tcBorders/>
            <w:shd w:fill="FFFFFF" w:val="clear"/>
            <w:tcMar>
              <w:bottom w:w="0" w:type="dxa"/>
            </w:tcMar>
            <w:vAlign w:val="center"/>
          </w:tcPr>
          <w:p>
            <w:pPr>
              <w:pStyle w:val="TableContents"/>
              <w:bidi w:val="0"/>
              <w:spacing w:before="0" w:after="283"/>
              <w:jc w:val="right"/>
              <w:rPr/>
            </w:pPr>
            <w:r>
              <w:rPr/>
              <w:t>(11,952</w:t>
            </w:r>
          </w:p>
        </w:tc>
        <w:tc>
          <w:tcPr>
            <w:tcW w:w="113" w:type="dxa"/>
            <w:tcBorders/>
            <w:shd w:fill="FFFFFF" w:val="clear"/>
            <w:tcMar>
              <w:bottom w:w="0" w:type="dxa"/>
            </w:tcMar>
            <w:vAlign w:val="center"/>
          </w:tcPr>
          <w:p>
            <w:pPr>
              <w:pStyle w:val="TableContents"/>
              <w:bidi w:val="0"/>
              <w:spacing w:before="0" w:after="283"/>
              <w:jc w:val="left"/>
              <w:rPr/>
            </w:pPr>
            <w:r>
              <w:rPr/>
              <w:t>)</w:t>
            </w:r>
          </w:p>
        </w:tc>
      </w:tr>
    </w:tbl>
    <w:p>
      <w:pPr>
        <w:pStyle w:val="TextBody"/>
        <w:bidi w:val="0"/>
        <w:ind w:left="720" w:right="0" w:hanging="360"/>
        <w:jc w:val="left"/>
        <w:rPr>
          <w:bdr w:val="single" w:sz="8" w:space="1" w:color="000000"/>
        </w:rPr>
      </w:pPr>
      <w:r>
        <w:rPr>
          <w:bdr w:val="single" w:sz="8" w:space="1" w:color="000000"/>
        </w:rPr>
        <w:t> </w:t>
      </w:r>
    </w:p>
    <w:tbl>
      <w:tblPr>
        <w:tblW w:w="6250" w:type="dxa"/>
        <w:jc w:val="left"/>
        <w:tblInd w:w="0" w:type="dxa"/>
        <w:tblLayout w:type="fixed"/>
        <w:tblCellMar>
          <w:top w:w="0" w:type="dxa"/>
          <w:left w:w="0" w:type="dxa"/>
          <w:bottom w:w="0" w:type="dxa"/>
          <w:right w:w="0" w:type="dxa"/>
        </w:tblCellMar>
      </w:tblPr>
      <w:tblGrid>
        <w:gridCol w:w="75"/>
        <w:gridCol w:w="140"/>
        <w:gridCol w:w="603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18"/>
              </w:rPr>
            </w:pPr>
            <w:r>
              <w:rPr>
                <w:sz w:val="18"/>
              </w:rPr>
              <w:t>a.</w:t>
            </w:r>
          </w:p>
        </w:tc>
        <w:tc>
          <w:tcPr>
            <w:tcW w:w="6035" w:type="dxa"/>
            <w:tcBorders/>
            <w:vAlign w:val="center"/>
          </w:tcPr>
          <w:p>
            <w:pPr>
              <w:pStyle w:val="TableContents"/>
              <w:bidi w:val="0"/>
              <w:spacing w:before="0" w:after="283"/>
              <w:jc w:val="both"/>
              <w:rPr>
                <w:sz w:val="18"/>
              </w:rPr>
            </w:pPr>
            <w:r>
              <w:rPr>
                <w:sz w:val="18"/>
              </w:rPr>
              <w:t>Reclassification of $83,951 of Engineering and support services to Service revenues.</w:t>
            </w:r>
          </w:p>
        </w:tc>
      </w:tr>
    </w:tbl>
    <w:tbl>
      <w:tblPr>
        <w:tblW w:w="10205" w:type="dxa"/>
        <w:jc w:val="left"/>
        <w:tblInd w:w="0" w:type="dxa"/>
        <w:tblLayout w:type="fixed"/>
        <w:tblCellMar>
          <w:top w:w="0" w:type="dxa"/>
          <w:left w:w="0" w:type="dxa"/>
          <w:bottom w:w="0" w:type="dxa"/>
          <w:right w:w="0" w:type="dxa"/>
        </w:tblCellMar>
      </w:tblPr>
      <w:tblGrid>
        <w:gridCol w:w="75"/>
        <w:gridCol w:w="155"/>
        <w:gridCol w:w="9975"/>
      </w:tblGrid>
      <w:tr>
        <w:trPr/>
        <w:tc>
          <w:tcPr>
            <w:tcW w:w="7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sz w:val="18"/>
              </w:rPr>
            </w:pPr>
            <w:r>
              <w:rPr>
                <w:sz w:val="18"/>
              </w:rPr>
              <w:t>b.</w:t>
            </w:r>
          </w:p>
        </w:tc>
        <w:tc>
          <w:tcPr>
            <w:tcW w:w="9975" w:type="dxa"/>
            <w:tcBorders/>
            <w:vAlign w:val="center"/>
          </w:tcPr>
          <w:p>
            <w:pPr>
              <w:pStyle w:val="TableContents"/>
              <w:bidi w:val="0"/>
              <w:spacing w:before="0" w:after="283"/>
              <w:jc w:val="both"/>
              <w:rPr>
                <w:sz w:val="18"/>
              </w:rPr>
            </w:pPr>
            <w:r>
              <w:rPr>
                <w:sz w:val="18"/>
              </w:rPr>
              <w:t>Reclassification of $107,604 of Depreciation and amortization consisting of $9,057 to Cost of product revenues, $89,335 to Cost of service revenues, and $9,212 to Selling, general and administrative.</w:t>
            </w:r>
          </w:p>
        </w:tc>
      </w:tr>
    </w:tbl>
    <w:tbl>
      <w:tblPr>
        <w:tblW w:w="5320" w:type="dxa"/>
        <w:jc w:val="left"/>
        <w:tblInd w:w="0" w:type="dxa"/>
        <w:tblLayout w:type="fixed"/>
        <w:tblCellMar>
          <w:top w:w="0" w:type="dxa"/>
          <w:left w:w="0" w:type="dxa"/>
          <w:bottom w:w="0" w:type="dxa"/>
          <w:right w:w="0" w:type="dxa"/>
        </w:tblCellMar>
      </w:tblPr>
      <w:tblGrid>
        <w:gridCol w:w="75"/>
        <w:gridCol w:w="140"/>
        <w:gridCol w:w="510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18"/>
              </w:rPr>
            </w:pPr>
            <w:r>
              <w:rPr>
                <w:sz w:val="18"/>
              </w:rPr>
              <w:t>c.</w:t>
            </w:r>
          </w:p>
        </w:tc>
        <w:tc>
          <w:tcPr>
            <w:tcW w:w="5105" w:type="dxa"/>
            <w:tcBorders/>
            <w:vAlign w:val="center"/>
          </w:tcPr>
          <w:p>
            <w:pPr>
              <w:pStyle w:val="TableContents"/>
              <w:bidi w:val="0"/>
              <w:spacing w:before="0" w:after="283"/>
              <w:jc w:val="both"/>
              <w:rPr>
                <w:sz w:val="18"/>
              </w:rPr>
            </w:pPr>
            <w:r>
              <w:rPr>
                <w:sz w:val="18"/>
              </w:rPr>
              <w:t>Reclassification of $3,247 from Interest expense, net to Interest income.</w:t>
            </w:r>
          </w:p>
        </w:tc>
      </w:tr>
    </w:tbl>
    <w:tbl>
      <w:tblPr>
        <w:tblW w:w="5830" w:type="dxa"/>
        <w:jc w:val="left"/>
        <w:tblInd w:w="0" w:type="dxa"/>
        <w:tblLayout w:type="fixed"/>
        <w:tblCellMar>
          <w:top w:w="0" w:type="dxa"/>
          <w:left w:w="0" w:type="dxa"/>
          <w:bottom w:w="0" w:type="dxa"/>
          <w:right w:w="0" w:type="dxa"/>
        </w:tblCellMar>
      </w:tblPr>
      <w:tblGrid>
        <w:gridCol w:w="75"/>
        <w:gridCol w:w="155"/>
        <w:gridCol w:w="5600"/>
      </w:tblGrid>
      <w:tr>
        <w:trPr/>
        <w:tc>
          <w:tcPr>
            <w:tcW w:w="7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sz w:val="18"/>
              </w:rPr>
            </w:pPr>
            <w:r>
              <w:rPr>
                <w:sz w:val="18"/>
              </w:rPr>
              <w:t>d.</w:t>
            </w:r>
          </w:p>
        </w:tc>
        <w:tc>
          <w:tcPr>
            <w:tcW w:w="5600" w:type="dxa"/>
            <w:tcBorders/>
            <w:vAlign w:val="center"/>
          </w:tcPr>
          <w:p>
            <w:pPr>
              <w:pStyle w:val="TableContents"/>
              <w:bidi w:val="0"/>
              <w:spacing w:before="0" w:after="283"/>
              <w:jc w:val="both"/>
              <w:rPr>
                <w:sz w:val="18"/>
              </w:rPr>
            </w:pPr>
            <w:r>
              <w:rPr>
                <w:sz w:val="18"/>
              </w:rPr>
              <w:t>Reclassification of $645 from Other expense, net to Loss on foreign exchange.</w:t>
            </w:r>
          </w:p>
        </w:tc>
      </w:tr>
    </w:tbl>
    <w:tbl>
      <w:tblPr>
        <w:tblW w:w="6565" w:type="dxa"/>
        <w:jc w:val="left"/>
        <w:tblInd w:w="0" w:type="dxa"/>
        <w:tblLayout w:type="fixed"/>
        <w:tblCellMar>
          <w:top w:w="0" w:type="dxa"/>
          <w:left w:w="0" w:type="dxa"/>
          <w:bottom w:w="0" w:type="dxa"/>
          <w:right w:w="0" w:type="dxa"/>
        </w:tblCellMar>
      </w:tblPr>
      <w:tblGrid>
        <w:gridCol w:w="75"/>
        <w:gridCol w:w="140"/>
        <w:gridCol w:w="6350"/>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18"/>
              </w:rPr>
            </w:pPr>
            <w:r>
              <w:rPr>
                <w:sz w:val="18"/>
              </w:rPr>
              <w:t>e.</w:t>
            </w:r>
          </w:p>
        </w:tc>
        <w:tc>
          <w:tcPr>
            <w:tcW w:w="6350" w:type="dxa"/>
            <w:tcBorders/>
            <w:vAlign w:val="center"/>
          </w:tcPr>
          <w:p>
            <w:pPr>
              <w:pStyle w:val="TableContents"/>
              <w:bidi w:val="0"/>
              <w:spacing w:before="0" w:after="283"/>
              <w:jc w:val="both"/>
              <w:rPr>
                <w:sz w:val="18"/>
              </w:rPr>
            </w:pPr>
            <w:r>
              <w:rPr>
                <w:sz w:val="18"/>
              </w:rPr>
              <w:t>Reclassification of $2,242 from Loss on equity method investments to Other income, net.</w:t>
            </w:r>
          </w:p>
        </w:tc>
      </w:tr>
    </w:tbl>
    <w:p>
      <w:pPr>
        <w:pStyle w:val="TextBody"/>
        <w:bidi w:val="0"/>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reflects certain adjustments made to present Iridium’s historical consolidated statement of operations for the year ended December 31, 2025 to conform with that of Rocket Lab’s historical consolidated statement of operations for the year ended December 31, 2025 (in thousands):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974"/>
        <w:gridCol w:w="60"/>
        <w:gridCol w:w="2901"/>
        <w:gridCol w:w="60"/>
        <w:gridCol w:w="140"/>
        <w:gridCol w:w="800"/>
        <w:gridCol w:w="95"/>
        <w:gridCol w:w="60"/>
        <w:gridCol w:w="166"/>
        <w:gridCol w:w="1039"/>
        <w:gridCol w:w="95"/>
        <w:gridCol w:w="60"/>
        <w:gridCol w:w="554"/>
        <w:gridCol w:w="60"/>
        <w:gridCol w:w="153"/>
        <w:gridCol w:w="875"/>
        <w:gridCol w:w="113"/>
      </w:tblGrid>
      <w:tr>
        <w:trPr/>
        <w:tc>
          <w:tcPr>
            <w:tcW w:w="10205" w:type="dxa"/>
            <w:gridSpan w:val="17"/>
            <w:tcBorders>
              <w:bottom w:val="single" w:sz="8" w:space="0" w:color="000000"/>
            </w:tcBorders>
            <w:vAlign w:val="center"/>
          </w:tcPr>
          <w:p>
            <w:pPr>
              <w:pStyle w:val="TableContents"/>
              <w:bidi w:val="0"/>
              <w:spacing w:before="0" w:after="283"/>
              <w:jc w:val="center"/>
              <w:rPr>
                <w:b/>
                <w:sz w:val="18"/>
              </w:rPr>
            </w:pPr>
            <w:r>
              <w:rPr>
                <w:b/>
                <w:sz w:val="18"/>
              </w:rPr>
              <w:t>Consolidated Statement of Operations presentation for the year ended December 31, 2025</w:t>
            </w:r>
          </w:p>
        </w:tc>
      </w:tr>
      <w:tr>
        <w:trPr/>
        <w:tc>
          <w:tcPr>
            <w:tcW w:w="2974" w:type="dxa"/>
            <w:tcBorders>
              <w:bottom w:val="single" w:sz="8" w:space="0" w:color="000000"/>
            </w:tcBorders>
            <w:vAlign w:val="center"/>
          </w:tcPr>
          <w:p>
            <w:pPr>
              <w:pStyle w:val="TableContents"/>
              <w:bidi w:val="0"/>
              <w:spacing w:before="0" w:after="283"/>
              <w:jc w:val="center"/>
              <w:rPr>
                <w:b/>
                <w:sz w:val="18"/>
              </w:rPr>
            </w:pPr>
            <w:r>
              <w:rPr>
                <w:b/>
                <w:sz w:val="18"/>
              </w:rPr>
              <w:t>Rocket Lab</w:t>
            </w:r>
          </w:p>
        </w:tc>
        <w:tc>
          <w:tcPr>
            <w:tcW w:w="60" w:type="dxa"/>
            <w:tcBorders/>
            <w:tcMar>
              <w:bottom w:w="0" w:type="dxa"/>
            </w:tcMar>
            <w:vAlign w:val="center"/>
          </w:tcPr>
          <w:p>
            <w:pPr>
              <w:pStyle w:val="TableContents"/>
              <w:bidi w:val="0"/>
              <w:spacing w:before="0" w:after="283"/>
              <w:jc w:val="left"/>
              <w:rPr/>
            </w:pPr>
            <w:r>
              <w:rPr/>
              <w:t> </w:t>
            </w:r>
          </w:p>
        </w:tc>
        <w:tc>
          <w:tcPr>
            <w:tcW w:w="2901" w:type="dxa"/>
            <w:tcBorders>
              <w:bottom w:val="single" w:sz="8" w:space="0" w:color="000000"/>
            </w:tcBorders>
            <w:vAlign w:val="center"/>
          </w:tcPr>
          <w:p>
            <w:pPr>
              <w:pStyle w:val="TableContents"/>
              <w:bidi w:val="0"/>
              <w:spacing w:before="0" w:after="283"/>
              <w:jc w:val="center"/>
              <w:rPr>
                <w:b/>
                <w:sz w:val="18"/>
              </w:rPr>
            </w:pPr>
            <w:r>
              <w:rPr>
                <w:b/>
                <w:sz w:val="18"/>
              </w:rPr>
              <w:t>Iridium</w:t>
            </w:r>
          </w:p>
        </w:tc>
        <w:tc>
          <w:tcPr>
            <w:tcW w:w="60" w:type="dxa"/>
            <w:tcBorders/>
            <w:tcMar>
              <w:bottom w:w="0" w:type="dxa"/>
            </w:tcMar>
            <w:vAlign w:val="center"/>
          </w:tcPr>
          <w:p>
            <w:pPr>
              <w:pStyle w:val="TableContents"/>
              <w:bidi w:val="0"/>
              <w:spacing w:before="0" w:after="283"/>
              <w:jc w:val="left"/>
              <w:rPr/>
            </w:pPr>
            <w:r>
              <w:rPr/>
              <w:t> </w:t>
            </w:r>
          </w:p>
        </w:tc>
        <w:tc>
          <w:tcPr>
            <w:tcW w:w="940" w:type="dxa"/>
            <w:gridSpan w:val="2"/>
            <w:tcBorders>
              <w:bottom w:val="single" w:sz="8" w:space="0" w:color="000000"/>
            </w:tcBorders>
            <w:vAlign w:val="center"/>
          </w:tcPr>
          <w:p>
            <w:pPr>
              <w:pStyle w:val="TableContents"/>
              <w:bidi w:val="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 xml:space="preserve">Iridium </w:t>
            </w:r>
          </w:p>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Historical</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05" w:type="dxa"/>
            <w:gridSpan w:val="2"/>
            <w:tcBorders>
              <w:bottom w:val="single" w:sz="8" w:space="0" w:color="000000"/>
            </w:tcBorders>
            <w:vAlign w:val="center"/>
          </w:tcPr>
          <w:p>
            <w:pPr>
              <w:pStyle w:val="TableContents"/>
              <w:bidi w:val="0"/>
              <w:spacing w:before="0" w:after="283"/>
              <w:jc w:val="center"/>
              <w:rPr>
                <w:b/>
                <w:sz w:val="18"/>
              </w:rPr>
            </w:pPr>
            <w:r>
              <w:rPr>
                <w:b/>
                <w:sz w:val="18"/>
              </w:rPr>
              <w:t>Reclassification</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54" w:type="dxa"/>
            <w:tcBorders>
              <w:bottom w:val="single" w:sz="8" w:space="0" w:color="000000"/>
            </w:tcBorders>
            <w:vAlign w:val="center"/>
          </w:tcPr>
          <w:p>
            <w:pPr>
              <w:pStyle w:val="TableContents"/>
              <w:bidi w:val="0"/>
              <w:spacing w:before="0" w:after="283"/>
              <w:jc w:val="center"/>
              <w:rPr>
                <w:b/>
                <w:sz w:val="18"/>
              </w:rPr>
            </w:pPr>
            <w:r>
              <w:rPr>
                <w:b/>
                <w:sz w:val="18"/>
              </w:rPr>
              <w:t>Note</w:t>
            </w:r>
          </w:p>
        </w:tc>
        <w:tc>
          <w:tcPr>
            <w:tcW w:w="60" w:type="dxa"/>
            <w:tcBorders/>
            <w:tcMar>
              <w:bottom w:w="0" w:type="dxa"/>
            </w:tcMar>
            <w:vAlign w:val="center"/>
          </w:tcPr>
          <w:p>
            <w:pPr>
              <w:pStyle w:val="TableContents"/>
              <w:bidi w:val="0"/>
              <w:spacing w:before="0" w:after="283"/>
              <w:jc w:val="left"/>
              <w:rPr/>
            </w:pPr>
            <w:r>
              <w:rPr/>
              <w:t> </w:t>
            </w:r>
          </w:p>
        </w:tc>
        <w:tc>
          <w:tcPr>
            <w:tcW w:w="1028" w:type="dxa"/>
            <w:gridSpan w:val="2"/>
            <w:tcBorders>
              <w:bottom w:val="single" w:sz="8" w:space="0" w:color="000000"/>
            </w:tcBorders>
            <w:vAlign w:val="center"/>
          </w:tcPr>
          <w:p>
            <w:pPr>
              <w:pStyle w:val="TableContents"/>
              <w:bidi w:val="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 xml:space="preserve">Iridium </w:t>
            </w:r>
          </w:p>
          <w:p>
            <w:pPr>
              <w:pStyle w:val="TableContents"/>
              <w:bidi w:val="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 xml:space="preserve">Historical, as </w:t>
            </w:r>
          </w:p>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 xml:space="preserve">Reclassified </w:t>
            </w:r>
          </w:p>
        </w:tc>
        <w:tc>
          <w:tcPr>
            <w:tcW w:w="113" w:type="dxa"/>
            <w:tcBorders/>
            <w:tcMar>
              <w:bottom w:w="0" w:type="dxa"/>
            </w:tcMar>
            <w:vAlign w:val="center"/>
          </w:tcPr>
          <w:p>
            <w:pPr>
              <w:pStyle w:val="TableContents"/>
              <w:bidi w:val="0"/>
              <w:spacing w:before="0" w:after="283"/>
              <w:jc w:val="left"/>
              <w:rPr/>
            </w:pPr>
            <w:r>
              <w:rPr/>
              <w:t> </w:t>
            </w:r>
          </w:p>
        </w:tc>
      </w:tr>
      <w:tr>
        <w:trPr/>
        <w:tc>
          <w:tcPr>
            <w:tcW w:w="2974" w:type="dxa"/>
            <w:tcBorders/>
            <w:shd w:fill="CCEEFF" w:val="clear"/>
            <w:tcMar>
              <w:bottom w:w="0" w:type="dxa"/>
            </w:tcMar>
            <w:vAlign w:val="center"/>
          </w:tcPr>
          <w:p>
            <w:pPr>
              <w:pStyle w:val="TableContents"/>
              <w:bidi w:val="0"/>
              <w:spacing w:before="0" w:after="283"/>
              <w:jc w:val="left"/>
              <w:rPr/>
            </w:pPr>
            <w:r>
              <w:rPr/>
              <w:t>Product revenues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901" w:type="dxa"/>
            <w:tcBorders/>
            <w:shd w:fill="CCEEFF" w:val="clear"/>
            <w:tcMar>
              <w:bottom w:w="0" w:type="dxa"/>
            </w:tcMar>
            <w:vAlign w:val="center"/>
          </w:tcPr>
          <w:p>
            <w:pPr>
              <w:pStyle w:val="TableContents"/>
              <w:bidi w:val="0"/>
              <w:spacing w:before="0" w:after="283"/>
              <w:jc w:val="left"/>
              <w:rPr/>
            </w:pPr>
            <w:r>
              <w:rPr/>
              <w:t>Subscriber equipment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81,109</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6" w:type="dxa"/>
            <w:tcBorders/>
            <w:shd w:fill="CCEEFF" w:val="clear"/>
            <w:tcMar>
              <w:bottom w:w="0" w:type="dxa"/>
            </w:tcMar>
            <w:vAlign w:val="center"/>
          </w:tcPr>
          <w:p>
            <w:pPr>
              <w:pStyle w:val="TableContents"/>
              <w:bidi w:val="0"/>
              <w:spacing w:before="0" w:after="283"/>
              <w:jc w:val="left"/>
              <w:rPr/>
            </w:pPr>
            <w:r>
              <w:rPr/>
              <w:t>$</w:t>
            </w:r>
          </w:p>
        </w:tc>
        <w:tc>
          <w:tcPr>
            <w:tcW w:w="1039"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54"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3" w:type="dxa"/>
            <w:tcBorders/>
            <w:shd w:fill="CCEEFF" w:val="clear"/>
            <w:tcMar>
              <w:bottom w:w="0" w:type="dxa"/>
            </w:tcMar>
            <w:vAlign w:val="center"/>
          </w:tcPr>
          <w:p>
            <w:pPr>
              <w:pStyle w:val="TableContents"/>
              <w:bidi w:val="0"/>
              <w:spacing w:before="0" w:after="283"/>
              <w:jc w:val="left"/>
              <w:rPr/>
            </w:pPr>
            <w:r>
              <w:rPr/>
              <w:t>$</w:t>
            </w:r>
          </w:p>
        </w:tc>
        <w:tc>
          <w:tcPr>
            <w:tcW w:w="875" w:type="dxa"/>
            <w:tcBorders/>
            <w:shd w:fill="CCEEFF" w:val="clear"/>
            <w:tcMar>
              <w:bottom w:w="0" w:type="dxa"/>
            </w:tcMar>
            <w:vAlign w:val="center"/>
          </w:tcPr>
          <w:p>
            <w:pPr>
              <w:pStyle w:val="TableContents"/>
              <w:bidi w:val="0"/>
              <w:spacing w:before="0" w:after="283"/>
              <w:jc w:val="right"/>
              <w:rPr/>
            </w:pPr>
            <w:r>
              <w:rPr/>
              <w:t>81,109</w:t>
            </w:r>
          </w:p>
        </w:tc>
        <w:tc>
          <w:tcPr>
            <w:tcW w:w="113" w:type="dxa"/>
            <w:tcBorders/>
            <w:shd w:fill="CCEEFF" w:val="clear"/>
            <w:tcMar>
              <w:bottom w:w="0" w:type="dxa"/>
            </w:tcMar>
            <w:vAlign w:val="center"/>
          </w:tcPr>
          <w:p>
            <w:pPr>
              <w:pStyle w:val="TableContents"/>
              <w:bidi w:val="0"/>
              <w:spacing w:before="0" w:after="283"/>
              <w:jc w:val="left"/>
              <w:rPr/>
            </w:pPr>
            <w:r>
              <w:rPr/>
              <w:t> </w:t>
            </w:r>
          </w:p>
        </w:tc>
      </w:tr>
      <w:tr>
        <w:trPr/>
        <w:tc>
          <w:tcPr>
            <w:tcW w:w="2974" w:type="dxa"/>
            <w:tcBorders/>
            <w:shd w:fill="FFFFFF" w:val="clear"/>
            <w:tcMar>
              <w:bottom w:w="0" w:type="dxa"/>
            </w:tcMar>
            <w:vAlign w:val="center"/>
          </w:tcPr>
          <w:p>
            <w:pPr>
              <w:pStyle w:val="TableContents"/>
              <w:bidi w:val="0"/>
              <w:spacing w:before="0" w:after="283"/>
              <w:jc w:val="left"/>
              <w:rPr/>
            </w:pPr>
            <w:r>
              <w:rPr/>
              <w:t>Service revenues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901" w:type="dxa"/>
            <w:tcBorders/>
            <w:shd w:fill="FFFFFF" w:val="clear"/>
            <w:tcMar>
              <w:bottom w:w="0" w:type="dxa"/>
            </w:tcMar>
            <w:vAlign w:val="center"/>
          </w:tcPr>
          <w:p>
            <w:pPr>
              <w:pStyle w:val="TableContents"/>
              <w:bidi w:val="0"/>
              <w:spacing w:before="0" w:after="283"/>
              <w:jc w:val="left"/>
              <w:rPr/>
            </w:pPr>
            <w:r>
              <w:rPr/>
              <w:t>Services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633,958</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6" w:type="dxa"/>
            <w:tcBorders/>
            <w:shd w:fill="FFFFFF" w:val="clear"/>
            <w:tcMar>
              <w:bottom w:w="0" w:type="dxa"/>
            </w:tcMar>
            <w:vAlign w:val="center"/>
          </w:tcPr>
          <w:p>
            <w:pPr>
              <w:pStyle w:val="TableContents"/>
              <w:bidi w:val="0"/>
              <w:spacing w:before="0" w:after="283"/>
              <w:jc w:val="left"/>
              <w:rPr/>
            </w:pPr>
            <w:r>
              <w:rPr/>
              <w:t> </w:t>
            </w:r>
          </w:p>
        </w:tc>
        <w:tc>
          <w:tcPr>
            <w:tcW w:w="1039" w:type="dxa"/>
            <w:tcBorders/>
            <w:shd w:fill="FFFFFF" w:val="clear"/>
            <w:tcMar>
              <w:bottom w:w="0" w:type="dxa"/>
            </w:tcMar>
            <w:vAlign w:val="center"/>
          </w:tcPr>
          <w:p>
            <w:pPr>
              <w:pStyle w:val="TableContents"/>
              <w:bidi w:val="0"/>
              <w:spacing w:before="0" w:after="283"/>
              <w:jc w:val="right"/>
              <w:rPr/>
            </w:pPr>
            <w:r>
              <w:rPr/>
              <w:t>156,592</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54" w:type="dxa"/>
            <w:tcBorders/>
            <w:shd w:fill="FFFFFF" w:val="clear"/>
            <w:tcMar>
              <w:bottom w:w="0" w:type="dxa"/>
            </w:tcMar>
            <w:vAlign w:val="center"/>
          </w:tcPr>
          <w:p>
            <w:pPr>
              <w:pStyle w:val="TableContents"/>
              <w:bidi w:val="0"/>
              <w:spacing w:before="0" w:after="283"/>
              <w:jc w:val="center"/>
              <w:rPr/>
            </w:pPr>
            <w:r>
              <w:rPr/>
              <w:t>(a)</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3" w:type="dxa"/>
            <w:tcBorders/>
            <w:shd w:fill="FFFFFF" w:val="clear"/>
            <w:tcMar>
              <w:bottom w:w="0" w:type="dxa"/>
            </w:tcMar>
            <w:vAlign w:val="center"/>
          </w:tcPr>
          <w:p>
            <w:pPr>
              <w:pStyle w:val="TableContents"/>
              <w:bidi w:val="0"/>
              <w:spacing w:before="0" w:after="283"/>
              <w:jc w:val="left"/>
              <w:rPr/>
            </w:pPr>
            <w:r>
              <w:rPr/>
              <w:t> </w:t>
            </w:r>
          </w:p>
        </w:tc>
        <w:tc>
          <w:tcPr>
            <w:tcW w:w="875" w:type="dxa"/>
            <w:tcBorders/>
            <w:shd w:fill="FFFFFF" w:val="clear"/>
            <w:tcMar>
              <w:bottom w:w="0" w:type="dxa"/>
            </w:tcMar>
            <w:vAlign w:val="center"/>
          </w:tcPr>
          <w:p>
            <w:pPr>
              <w:pStyle w:val="TableContents"/>
              <w:bidi w:val="0"/>
              <w:spacing w:before="0" w:after="283"/>
              <w:jc w:val="right"/>
              <w:rPr/>
            </w:pPr>
            <w:r>
              <w:rPr/>
              <w:t>790,550</w:t>
            </w:r>
          </w:p>
        </w:tc>
        <w:tc>
          <w:tcPr>
            <w:tcW w:w="113" w:type="dxa"/>
            <w:tcBorders/>
            <w:shd w:fill="FFFFFF" w:val="clear"/>
            <w:tcMar>
              <w:bottom w:w="0" w:type="dxa"/>
            </w:tcMar>
            <w:vAlign w:val="center"/>
          </w:tcPr>
          <w:p>
            <w:pPr>
              <w:pStyle w:val="TableContents"/>
              <w:bidi w:val="0"/>
              <w:spacing w:before="0" w:after="283"/>
              <w:jc w:val="left"/>
              <w:rPr/>
            </w:pPr>
            <w:r>
              <w:rPr/>
              <w:t> </w:t>
            </w:r>
          </w:p>
        </w:tc>
      </w:tr>
      <w:tr>
        <w:trPr/>
        <w:tc>
          <w:tcPr>
            <w:tcW w:w="2974"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901" w:type="dxa"/>
            <w:tcBorders/>
            <w:shd w:fill="CCEEFF" w:val="clear"/>
            <w:tcMar>
              <w:bottom w:w="0" w:type="dxa"/>
            </w:tcMar>
            <w:vAlign w:val="center"/>
          </w:tcPr>
          <w:p>
            <w:pPr>
              <w:pStyle w:val="TableContents"/>
              <w:bidi w:val="0"/>
              <w:spacing w:before="0" w:after="283"/>
              <w:jc w:val="left"/>
              <w:rPr/>
            </w:pPr>
            <w:r>
              <w:rPr/>
              <w:t>Engineering and support services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156,592</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6" w:type="dxa"/>
            <w:tcBorders/>
            <w:shd w:fill="CCEEFF" w:val="clear"/>
            <w:tcMar>
              <w:bottom w:w="0" w:type="dxa"/>
            </w:tcMar>
            <w:vAlign w:val="center"/>
          </w:tcPr>
          <w:p>
            <w:pPr>
              <w:pStyle w:val="TableContents"/>
              <w:bidi w:val="0"/>
              <w:spacing w:before="0" w:after="283"/>
              <w:jc w:val="left"/>
              <w:rPr/>
            </w:pPr>
            <w:r>
              <w:rPr/>
              <w:t> </w:t>
            </w:r>
          </w:p>
        </w:tc>
        <w:tc>
          <w:tcPr>
            <w:tcW w:w="1039" w:type="dxa"/>
            <w:tcBorders/>
            <w:shd w:fill="CCEEFF" w:val="clear"/>
            <w:tcMar>
              <w:bottom w:w="0" w:type="dxa"/>
            </w:tcMar>
            <w:vAlign w:val="center"/>
          </w:tcPr>
          <w:p>
            <w:pPr>
              <w:pStyle w:val="TableContents"/>
              <w:bidi w:val="0"/>
              <w:spacing w:before="0" w:after="283"/>
              <w:jc w:val="right"/>
              <w:rPr/>
            </w:pPr>
            <w:r>
              <w:rPr/>
              <w:t>(156,592</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554" w:type="dxa"/>
            <w:tcBorders/>
            <w:shd w:fill="CCEEFF" w:val="clear"/>
            <w:tcMar>
              <w:bottom w:w="0" w:type="dxa"/>
            </w:tcMar>
            <w:vAlign w:val="center"/>
          </w:tcPr>
          <w:p>
            <w:pPr>
              <w:pStyle w:val="TableContents"/>
              <w:bidi w:val="0"/>
              <w:spacing w:before="0" w:after="283"/>
              <w:jc w:val="center"/>
              <w:rPr/>
            </w:pPr>
            <w:r>
              <w:rPr/>
              <w:t>(a)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3" w:type="dxa"/>
            <w:tcBorders/>
            <w:shd w:fill="CCEEFF" w:val="clear"/>
            <w:tcMar>
              <w:bottom w:w="0" w:type="dxa"/>
            </w:tcMar>
            <w:vAlign w:val="center"/>
          </w:tcPr>
          <w:p>
            <w:pPr>
              <w:pStyle w:val="TableContents"/>
              <w:bidi w:val="0"/>
              <w:spacing w:before="0" w:after="283"/>
              <w:jc w:val="left"/>
              <w:rPr/>
            </w:pPr>
            <w:r>
              <w:rPr/>
              <w:t> </w:t>
            </w:r>
          </w:p>
        </w:tc>
        <w:tc>
          <w:tcPr>
            <w:tcW w:w="875" w:type="dxa"/>
            <w:tcBorders/>
            <w:shd w:fill="CCEEFF" w:val="clear"/>
            <w:tcMar>
              <w:bottom w:w="0" w:type="dxa"/>
            </w:tcMar>
            <w:vAlign w:val="center"/>
          </w:tcPr>
          <w:p>
            <w:pPr>
              <w:pStyle w:val="TableContents"/>
              <w:bidi w:val="0"/>
              <w:spacing w:before="0" w:after="283"/>
              <w:jc w:val="right"/>
              <w:rPr/>
            </w:pPr>
            <w:r>
              <w:rPr/>
              <w:t>—</w:t>
            </w:r>
          </w:p>
        </w:tc>
        <w:tc>
          <w:tcPr>
            <w:tcW w:w="113" w:type="dxa"/>
            <w:tcBorders/>
            <w:shd w:fill="CCEEFF" w:val="clear"/>
            <w:tcMar>
              <w:bottom w:w="0" w:type="dxa"/>
            </w:tcMar>
            <w:vAlign w:val="center"/>
          </w:tcPr>
          <w:p>
            <w:pPr>
              <w:pStyle w:val="TableContents"/>
              <w:bidi w:val="0"/>
              <w:spacing w:before="0" w:after="283"/>
              <w:jc w:val="left"/>
              <w:rPr/>
            </w:pPr>
            <w:r>
              <w:rPr/>
              <w:t> </w:t>
            </w:r>
          </w:p>
        </w:tc>
      </w:tr>
      <w:tr>
        <w:trPr/>
        <w:tc>
          <w:tcPr>
            <w:tcW w:w="2974" w:type="dxa"/>
            <w:tcBorders/>
            <w:shd w:fill="FFFFFF" w:val="clear"/>
            <w:tcMar>
              <w:bottom w:w="0" w:type="dxa"/>
            </w:tcMar>
            <w:vAlign w:val="center"/>
          </w:tcPr>
          <w:p>
            <w:pPr>
              <w:pStyle w:val="TableContents"/>
              <w:bidi w:val="0"/>
              <w:spacing w:before="0" w:after="283"/>
              <w:jc w:val="left"/>
              <w:rPr/>
            </w:pPr>
            <w:r>
              <w:rPr/>
              <w:t>Cost of product revenues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901" w:type="dxa"/>
            <w:tcBorders/>
            <w:shd w:fill="FFFFFF" w:val="clear"/>
            <w:tcMar>
              <w:bottom w:w="0" w:type="dxa"/>
            </w:tcMar>
            <w:vAlign w:val="center"/>
          </w:tcPr>
          <w:p>
            <w:pPr>
              <w:pStyle w:val="TableContents"/>
              <w:bidi w:val="0"/>
              <w:spacing w:before="0" w:after="283"/>
              <w:jc w:val="left"/>
              <w:rPr/>
            </w:pPr>
            <w:r>
              <w:rPr/>
              <w:t>Cost of subscriber equipment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50,426</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6" w:type="dxa"/>
            <w:tcBorders/>
            <w:shd w:fill="FFFFFF" w:val="clear"/>
            <w:tcMar>
              <w:bottom w:w="0" w:type="dxa"/>
            </w:tcMar>
            <w:vAlign w:val="center"/>
          </w:tcPr>
          <w:p>
            <w:pPr>
              <w:pStyle w:val="TableContents"/>
              <w:bidi w:val="0"/>
              <w:spacing w:before="0" w:after="283"/>
              <w:jc w:val="left"/>
              <w:rPr/>
            </w:pPr>
            <w:r>
              <w:rPr/>
              <w:t> </w:t>
            </w:r>
          </w:p>
        </w:tc>
        <w:tc>
          <w:tcPr>
            <w:tcW w:w="1039" w:type="dxa"/>
            <w:tcBorders/>
            <w:shd w:fill="FFFFFF" w:val="clear"/>
            <w:tcMar>
              <w:bottom w:w="0" w:type="dxa"/>
            </w:tcMar>
            <w:vAlign w:val="center"/>
          </w:tcPr>
          <w:p>
            <w:pPr>
              <w:pStyle w:val="TableContents"/>
              <w:bidi w:val="0"/>
              <w:spacing w:before="0" w:after="283"/>
              <w:jc w:val="right"/>
              <w:rPr/>
            </w:pPr>
            <w:r>
              <w:rPr/>
              <w:t>18,233</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54" w:type="dxa"/>
            <w:tcBorders/>
            <w:shd w:fill="FFFFFF" w:val="clear"/>
            <w:tcMar>
              <w:bottom w:w="0" w:type="dxa"/>
            </w:tcMar>
            <w:vAlign w:val="center"/>
          </w:tcPr>
          <w:p>
            <w:pPr>
              <w:pStyle w:val="TableContents"/>
              <w:bidi w:val="0"/>
              <w:spacing w:before="0" w:after="283"/>
              <w:jc w:val="center"/>
              <w:rPr/>
            </w:pPr>
            <w:r>
              <w:rPr/>
              <w:t>(b)</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3" w:type="dxa"/>
            <w:tcBorders/>
            <w:shd w:fill="FFFFFF" w:val="clear"/>
            <w:tcMar>
              <w:bottom w:w="0" w:type="dxa"/>
            </w:tcMar>
            <w:vAlign w:val="center"/>
          </w:tcPr>
          <w:p>
            <w:pPr>
              <w:pStyle w:val="TableContents"/>
              <w:bidi w:val="0"/>
              <w:spacing w:before="0" w:after="283"/>
              <w:jc w:val="left"/>
              <w:rPr/>
            </w:pPr>
            <w:r>
              <w:rPr/>
              <w:t> </w:t>
            </w:r>
          </w:p>
        </w:tc>
        <w:tc>
          <w:tcPr>
            <w:tcW w:w="875" w:type="dxa"/>
            <w:tcBorders/>
            <w:shd w:fill="FFFFFF" w:val="clear"/>
            <w:tcMar>
              <w:bottom w:w="0" w:type="dxa"/>
            </w:tcMar>
            <w:vAlign w:val="center"/>
          </w:tcPr>
          <w:p>
            <w:pPr>
              <w:pStyle w:val="TableContents"/>
              <w:bidi w:val="0"/>
              <w:spacing w:before="0" w:after="283"/>
              <w:jc w:val="right"/>
              <w:rPr/>
            </w:pPr>
            <w:r>
              <w:rPr/>
              <w:t>68,659</w:t>
            </w:r>
          </w:p>
        </w:tc>
        <w:tc>
          <w:tcPr>
            <w:tcW w:w="113" w:type="dxa"/>
            <w:tcBorders/>
            <w:shd w:fill="FFFFFF" w:val="clear"/>
            <w:tcMar>
              <w:bottom w:w="0" w:type="dxa"/>
            </w:tcMar>
            <w:vAlign w:val="center"/>
          </w:tcPr>
          <w:p>
            <w:pPr>
              <w:pStyle w:val="TableContents"/>
              <w:bidi w:val="0"/>
              <w:spacing w:before="0" w:after="283"/>
              <w:jc w:val="left"/>
              <w:rPr/>
            </w:pPr>
            <w:r>
              <w:rPr/>
              <w:t> </w:t>
            </w:r>
          </w:p>
        </w:tc>
      </w:tr>
      <w:tr>
        <w:trPr/>
        <w:tc>
          <w:tcPr>
            <w:tcW w:w="2974" w:type="dxa"/>
            <w:tcBorders/>
            <w:shd w:fill="CCEEFF" w:val="clear"/>
            <w:tcMar>
              <w:bottom w:w="0" w:type="dxa"/>
            </w:tcMar>
            <w:vAlign w:val="center"/>
          </w:tcPr>
          <w:p>
            <w:pPr>
              <w:pStyle w:val="TableContents"/>
              <w:bidi w:val="0"/>
              <w:spacing w:before="0" w:after="283"/>
              <w:jc w:val="left"/>
              <w:rPr/>
            </w:pPr>
            <w:r>
              <w:rPr/>
              <w:t>Cost of service revenues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901" w:type="dxa"/>
            <w:tcBorders/>
            <w:shd w:fill="CCEEFF" w:val="clear"/>
            <w:tcMar>
              <w:bottom w:w="0" w:type="dxa"/>
            </w:tcMar>
            <w:vAlign w:val="center"/>
          </w:tcPr>
          <w:p>
            <w:pPr>
              <w:pStyle w:val="TableContents"/>
              <w:bidi w:val="0"/>
              <w:spacing w:before="0" w:after="283"/>
              <w:jc w:val="left"/>
              <w:rPr/>
            </w:pPr>
            <w:r>
              <w:rPr/>
              <w:t>Cost of services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197,577</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6" w:type="dxa"/>
            <w:tcBorders/>
            <w:shd w:fill="CCEEFF" w:val="clear"/>
            <w:tcMar>
              <w:bottom w:w="0" w:type="dxa"/>
            </w:tcMar>
            <w:vAlign w:val="center"/>
          </w:tcPr>
          <w:p>
            <w:pPr>
              <w:pStyle w:val="TableContents"/>
              <w:bidi w:val="0"/>
              <w:spacing w:before="0" w:after="283"/>
              <w:jc w:val="left"/>
              <w:rPr/>
            </w:pPr>
            <w:r>
              <w:rPr/>
              <w:t> </w:t>
            </w:r>
          </w:p>
        </w:tc>
        <w:tc>
          <w:tcPr>
            <w:tcW w:w="1039" w:type="dxa"/>
            <w:tcBorders/>
            <w:shd w:fill="CCEEFF" w:val="clear"/>
            <w:tcMar>
              <w:bottom w:w="0" w:type="dxa"/>
            </w:tcMar>
            <w:vAlign w:val="center"/>
          </w:tcPr>
          <w:p>
            <w:pPr>
              <w:pStyle w:val="TableContents"/>
              <w:bidi w:val="0"/>
              <w:spacing w:before="0" w:after="283"/>
              <w:jc w:val="right"/>
              <w:rPr/>
            </w:pPr>
            <w:r>
              <w:rPr/>
              <w:t>178,146</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54" w:type="dxa"/>
            <w:tcBorders/>
            <w:shd w:fill="CCEEFF" w:val="clear"/>
            <w:tcMar>
              <w:bottom w:w="0" w:type="dxa"/>
            </w:tcMar>
            <w:vAlign w:val="center"/>
          </w:tcPr>
          <w:p>
            <w:pPr>
              <w:pStyle w:val="TableContents"/>
              <w:bidi w:val="0"/>
              <w:spacing w:before="0" w:after="283"/>
              <w:jc w:val="center"/>
              <w:rPr/>
            </w:pPr>
            <w:r>
              <w:rPr/>
              <w:t>(b)</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3" w:type="dxa"/>
            <w:tcBorders/>
            <w:shd w:fill="CCEEFF" w:val="clear"/>
            <w:tcMar>
              <w:bottom w:w="0" w:type="dxa"/>
            </w:tcMar>
            <w:vAlign w:val="center"/>
          </w:tcPr>
          <w:p>
            <w:pPr>
              <w:pStyle w:val="TableContents"/>
              <w:bidi w:val="0"/>
              <w:spacing w:before="0" w:after="283"/>
              <w:jc w:val="left"/>
              <w:rPr/>
            </w:pPr>
            <w:r>
              <w:rPr/>
              <w:t> </w:t>
            </w:r>
          </w:p>
        </w:tc>
        <w:tc>
          <w:tcPr>
            <w:tcW w:w="875" w:type="dxa"/>
            <w:tcBorders/>
            <w:shd w:fill="CCEEFF" w:val="clear"/>
            <w:tcMar>
              <w:bottom w:w="0" w:type="dxa"/>
            </w:tcMar>
            <w:vAlign w:val="center"/>
          </w:tcPr>
          <w:p>
            <w:pPr>
              <w:pStyle w:val="TableContents"/>
              <w:bidi w:val="0"/>
              <w:spacing w:before="0" w:after="283"/>
              <w:jc w:val="right"/>
              <w:rPr/>
            </w:pPr>
            <w:r>
              <w:rPr/>
              <w:t>375,723</w:t>
            </w:r>
          </w:p>
        </w:tc>
        <w:tc>
          <w:tcPr>
            <w:tcW w:w="113" w:type="dxa"/>
            <w:tcBorders/>
            <w:shd w:fill="CCEEFF" w:val="clear"/>
            <w:tcMar>
              <w:bottom w:w="0" w:type="dxa"/>
            </w:tcMar>
            <w:vAlign w:val="center"/>
          </w:tcPr>
          <w:p>
            <w:pPr>
              <w:pStyle w:val="TableContents"/>
              <w:bidi w:val="0"/>
              <w:spacing w:before="0" w:after="283"/>
              <w:jc w:val="left"/>
              <w:rPr/>
            </w:pPr>
            <w:r>
              <w:rPr/>
              <w:t> </w:t>
            </w:r>
          </w:p>
        </w:tc>
      </w:tr>
      <w:tr>
        <w:trPr/>
        <w:tc>
          <w:tcPr>
            <w:tcW w:w="2974" w:type="dxa"/>
            <w:tcBorders/>
            <w:shd w:fill="FFFFFF" w:val="clear"/>
            <w:tcMar>
              <w:bottom w:w="0" w:type="dxa"/>
            </w:tcMar>
            <w:vAlign w:val="center"/>
          </w:tcPr>
          <w:p>
            <w:pPr>
              <w:pStyle w:val="TableContents"/>
              <w:bidi w:val="0"/>
              <w:spacing w:before="0" w:after="283"/>
              <w:jc w:val="left"/>
              <w:rPr/>
            </w:pPr>
            <w:r>
              <w:rPr/>
              <w:t>Research and development, net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901" w:type="dxa"/>
            <w:tcBorders/>
            <w:shd w:fill="FFFFFF" w:val="clear"/>
            <w:tcMar>
              <w:bottom w:w="0" w:type="dxa"/>
            </w:tcMar>
            <w:vAlign w:val="center"/>
          </w:tcPr>
          <w:p>
            <w:pPr>
              <w:pStyle w:val="TableContents"/>
              <w:bidi w:val="0"/>
              <w:spacing w:before="0" w:after="283"/>
              <w:jc w:val="left"/>
              <w:rPr/>
            </w:pPr>
            <w:r>
              <w:rPr/>
              <w:t>Research and development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19,758</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6" w:type="dxa"/>
            <w:tcBorders/>
            <w:shd w:fill="FFFFFF" w:val="clear"/>
            <w:tcMar>
              <w:bottom w:w="0" w:type="dxa"/>
            </w:tcMar>
            <w:vAlign w:val="center"/>
          </w:tcPr>
          <w:p>
            <w:pPr>
              <w:pStyle w:val="TableContents"/>
              <w:bidi w:val="0"/>
              <w:spacing w:before="0" w:after="283"/>
              <w:jc w:val="left"/>
              <w:rPr/>
            </w:pPr>
            <w:r>
              <w:rPr/>
              <w:t> </w:t>
            </w:r>
          </w:p>
        </w:tc>
        <w:tc>
          <w:tcPr>
            <w:tcW w:w="1039"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54"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3" w:type="dxa"/>
            <w:tcBorders/>
            <w:shd w:fill="FFFFFF" w:val="clear"/>
            <w:tcMar>
              <w:bottom w:w="0" w:type="dxa"/>
            </w:tcMar>
            <w:vAlign w:val="center"/>
          </w:tcPr>
          <w:p>
            <w:pPr>
              <w:pStyle w:val="TableContents"/>
              <w:bidi w:val="0"/>
              <w:spacing w:before="0" w:after="283"/>
              <w:jc w:val="left"/>
              <w:rPr/>
            </w:pPr>
            <w:r>
              <w:rPr/>
              <w:t> </w:t>
            </w:r>
          </w:p>
        </w:tc>
        <w:tc>
          <w:tcPr>
            <w:tcW w:w="875" w:type="dxa"/>
            <w:tcBorders/>
            <w:shd w:fill="FFFFFF" w:val="clear"/>
            <w:tcMar>
              <w:bottom w:w="0" w:type="dxa"/>
            </w:tcMar>
            <w:vAlign w:val="center"/>
          </w:tcPr>
          <w:p>
            <w:pPr>
              <w:pStyle w:val="TableContents"/>
              <w:bidi w:val="0"/>
              <w:spacing w:before="0" w:after="283"/>
              <w:jc w:val="right"/>
              <w:rPr/>
            </w:pPr>
            <w:r>
              <w:rPr/>
              <w:t>19,758</w:t>
            </w:r>
          </w:p>
        </w:tc>
        <w:tc>
          <w:tcPr>
            <w:tcW w:w="113" w:type="dxa"/>
            <w:tcBorders/>
            <w:shd w:fill="FFFFFF" w:val="clear"/>
            <w:tcMar>
              <w:bottom w:w="0" w:type="dxa"/>
            </w:tcMar>
            <w:vAlign w:val="center"/>
          </w:tcPr>
          <w:p>
            <w:pPr>
              <w:pStyle w:val="TableContents"/>
              <w:bidi w:val="0"/>
              <w:spacing w:before="0" w:after="283"/>
              <w:jc w:val="left"/>
              <w:rPr/>
            </w:pPr>
            <w:r>
              <w:rPr/>
              <w:t> </w:t>
            </w:r>
          </w:p>
        </w:tc>
      </w:tr>
      <w:tr>
        <w:trPr/>
        <w:tc>
          <w:tcPr>
            <w:tcW w:w="2974" w:type="dxa"/>
            <w:tcBorders/>
            <w:shd w:fill="CCEEFF" w:val="clear"/>
            <w:tcMar>
              <w:bottom w:w="0" w:type="dxa"/>
            </w:tcMar>
            <w:vAlign w:val="center"/>
          </w:tcPr>
          <w:p>
            <w:pPr>
              <w:pStyle w:val="TableContents"/>
              <w:bidi w:val="0"/>
              <w:spacing w:before="0" w:after="283"/>
              <w:jc w:val="left"/>
              <w:rPr/>
            </w:pPr>
            <w:r>
              <w:rPr/>
              <w:t>Selling, general and administrative</w:t>
            </w:r>
          </w:p>
        </w:tc>
        <w:tc>
          <w:tcPr>
            <w:tcW w:w="60" w:type="dxa"/>
            <w:tcBorders/>
            <w:shd w:fill="CCEEFF" w:val="clear"/>
            <w:tcMar>
              <w:bottom w:w="0" w:type="dxa"/>
            </w:tcMar>
            <w:vAlign w:val="center"/>
          </w:tcPr>
          <w:p>
            <w:pPr>
              <w:pStyle w:val="TableContents"/>
              <w:bidi w:val="0"/>
              <w:spacing w:before="0" w:after="283"/>
              <w:jc w:val="left"/>
              <w:rPr/>
            </w:pPr>
            <w:r>
              <w:rPr/>
              <w:t> </w:t>
            </w:r>
          </w:p>
        </w:tc>
        <w:tc>
          <w:tcPr>
            <w:tcW w:w="2901" w:type="dxa"/>
            <w:tcBorders/>
            <w:shd w:fill="CCEEFF" w:val="clear"/>
            <w:tcMar>
              <w:bottom w:w="0" w:type="dxa"/>
            </w:tcMar>
            <w:vAlign w:val="center"/>
          </w:tcPr>
          <w:p>
            <w:pPr>
              <w:pStyle w:val="TableContents"/>
              <w:bidi w:val="0"/>
              <w:spacing w:before="0" w:after="283"/>
              <w:jc w:val="left"/>
              <w:rPr/>
            </w:pPr>
            <w:r>
              <w:rPr/>
              <w:t>Selling, general, and administrative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157,711</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6" w:type="dxa"/>
            <w:tcBorders/>
            <w:shd w:fill="CCEEFF" w:val="clear"/>
            <w:tcMar>
              <w:bottom w:w="0" w:type="dxa"/>
            </w:tcMar>
            <w:vAlign w:val="center"/>
          </w:tcPr>
          <w:p>
            <w:pPr>
              <w:pStyle w:val="TableContents"/>
              <w:bidi w:val="0"/>
              <w:spacing w:before="0" w:after="283"/>
              <w:jc w:val="left"/>
              <w:rPr/>
            </w:pPr>
            <w:r>
              <w:rPr/>
              <w:t> </w:t>
            </w:r>
          </w:p>
        </w:tc>
        <w:tc>
          <w:tcPr>
            <w:tcW w:w="1039" w:type="dxa"/>
            <w:tcBorders/>
            <w:shd w:fill="CCEEFF" w:val="clear"/>
            <w:tcMar>
              <w:bottom w:w="0" w:type="dxa"/>
            </w:tcMar>
            <w:vAlign w:val="center"/>
          </w:tcPr>
          <w:p>
            <w:pPr>
              <w:pStyle w:val="TableContents"/>
              <w:bidi w:val="0"/>
              <w:spacing w:before="0" w:after="283"/>
              <w:jc w:val="right"/>
              <w:rPr/>
            </w:pPr>
            <w:r>
              <w:rPr/>
              <w:t>13,828</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54" w:type="dxa"/>
            <w:tcBorders/>
            <w:shd w:fill="CCEEFF" w:val="clear"/>
            <w:tcMar>
              <w:bottom w:w="0" w:type="dxa"/>
            </w:tcMar>
            <w:vAlign w:val="center"/>
          </w:tcPr>
          <w:p>
            <w:pPr>
              <w:pStyle w:val="TableContents"/>
              <w:bidi w:val="0"/>
              <w:spacing w:before="0" w:after="283"/>
              <w:jc w:val="center"/>
              <w:rPr/>
            </w:pPr>
            <w:r>
              <w:rPr/>
              <w:t>(b)</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3" w:type="dxa"/>
            <w:tcBorders/>
            <w:shd w:fill="CCEEFF" w:val="clear"/>
            <w:tcMar>
              <w:bottom w:w="0" w:type="dxa"/>
            </w:tcMar>
            <w:vAlign w:val="center"/>
          </w:tcPr>
          <w:p>
            <w:pPr>
              <w:pStyle w:val="TableContents"/>
              <w:bidi w:val="0"/>
              <w:spacing w:before="0" w:after="283"/>
              <w:jc w:val="left"/>
              <w:rPr/>
            </w:pPr>
            <w:r>
              <w:rPr/>
              <w:t> </w:t>
            </w:r>
          </w:p>
        </w:tc>
        <w:tc>
          <w:tcPr>
            <w:tcW w:w="875" w:type="dxa"/>
            <w:tcBorders/>
            <w:shd w:fill="CCEEFF" w:val="clear"/>
            <w:tcMar>
              <w:bottom w:w="0" w:type="dxa"/>
            </w:tcMar>
            <w:vAlign w:val="center"/>
          </w:tcPr>
          <w:p>
            <w:pPr>
              <w:pStyle w:val="TableContents"/>
              <w:bidi w:val="0"/>
              <w:spacing w:before="0" w:after="283"/>
              <w:jc w:val="right"/>
              <w:rPr/>
            </w:pPr>
            <w:r>
              <w:rPr/>
              <w:t>171,539</w:t>
            </w:r>
          </w:p>
        </w:tc>
        <w:tc>
          <w:tcPr>
            <w:tcW w:w="113" w:type="dxa"/>
            <w:tcBorders/>
            <w:shd w:fill="CCEEFF" w:val="clear"/>
            <w:tcMar>
              <w:bottom w:w="0" w:type="dxa"/>
            </w:tcMar>
            <w:vAlign w:val="center"/>
          </w:tcPr>
          <w:p>
            <w:pPr>
              <w:pStyle w:val="TableContents"/>
              <w:bidi w:val="0"/>
              <w:spacing w:before="0" w:after="283"/>
              <w:jc w:val="left"/>
              <w:rPr/>
            </w:pPr>
            <w:r>
              <w:rPr/>
              <w:t> </w:t>
            </w:r>
          </w:p>
        </w:tc>
      </w:tr>
      <w:tr>
        <w:trPr/>
        <w:tc>
          <w:tcPr>
            <w:tcW w:w="2974"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901" w:type="dxa"/>
            <w:tcBorders/>
            <w:shd w:fill="FFFFFF" w:val="clear"/>
            <w:tcMar>
              <w:bottom w:w="0" w:type="dxa"/>
            </w:tcMar>
            <w:vAlign w:val="center"/>
          </w:tcPr>
          <w:p>
            <w:pPr>
              <w:pStyle w:val="TableContents"/>
              <w:bidi w:val="0"/>
              <w:spacing w:before="0" w:after="283"/>
              <w:jc w:val="left"/>
              <w:rPr/>
            </w:pPr>
            <w:r>
              <w:rPr/>
              <w:t>Depreciation and amortization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210,207</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6" w:type="dxa"/>
            <w:tcBorders/>
            <w:shd w:fill="FFFFFF" w:val="clear"/>
            <w:tcMar>
              <w:bottom w:w="0" w:type="dxa"/>
            </w:tcMar>
            <w:vAlign w:val="center"/>
          </w:tcPr>
          <w:p>
            <w:pPr>
              <w:pStyle w:val="TableContents"/>
              <w:bidi w:val="0"/>
              <w:spacing w:before="0" w:after="283"/>
              <w:jc w:val="left"/>
              <w:rPr/>
            </w:pPr>
            <w:r>
              <w:rPr/>
              <w:t> </w:t>
            </w:r>
          </w:p>
        </w:tc>
        <w:tc>
          <w:tcPr>
            <w:tcW w:w="1039" w:type="dxa"/>
            <w:tcBorders/>
            <w:shd w:fill="FFFFFF" w:val="clear"/>
            <w:tcMar>
              <w:bottom w:w="0" w:type="dxa"/>
            </w:tcMar>
            <w:vAlign w:val="center"/>
          </w:tcPr>
          <w:p>
            <w:pPr>
              <w:pStyle w:val="TableContents"/>
              <w:bidi w:val="0"/>
              <w:spacing w:before="0" w:after="283"/>
              <w:jc w:val="right"/>
              <w:rPr/>
            </w:pPr>
            <w:r>
              <w:rPr/>
              <w:t>(210,207</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554" w:type="dxa"/>
            <w:tcBorders/>
            <w:shd w:fill="FFFFFF" w:val="clear"/>
            <w:tcMar>
              <w:bottom w:w="0" w:type="dxa"/>
            </w:tcMar>
            <w:vAlign w:val="center"/>
          </w:tcPr>
          <w:p>
            <w:pPr>
              <w:pStyle w:val="TableContents"/>
              <w:bidi w:val="0"/>
              <w:spacing w:before="0" w:after="283"/>
              <w:jc w:val="center"/>
              <w:rPr/>
            </w:pPr>
            <w:r>
              <w:rPr/>
              <w:t>(b)</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3" w:type="dxa"/>
            <w:tcBorders/>
            <w:shd w:fill="FFFFFF" w:val="clear"/>
            <w:tcMar>
              <w:bottom w:w="0" w:type="dxa"/>
            </w:tcMar>
            <w:vAlign w:val="center"/>
          </w:tcPr>
          <w:p>
            <w:pPr>
              <w:pStyle w:val="TableContents"/>
              <w:bidi w:val="0"/>
              <w:spacing w:before="0" w:after="283"/>
              <w:jc w:val="left"/>
              <w:rPr/>
            </w:pPr>
            <w:r>
              <w:rPr/>
              <w:t> </w:t>
            </w:r>
          </w:p>
        </w:tc>
        <w:tc>
          <w:tcPr>
            <w:tcW w:w="875" w:type="dxa"/>
            <w:tcBorders/>
            <w:shd w:fill="FFFFFF" w:val="clear"/>
            <w:tcMar>
              <w:bottom w:w="0" w:type="dxa"/>
            </w:tcMar>
            <w:vAlign w:val="center"/>
          </w:tcPr>
          <w:p>
            <w:pPr>
              <w:pStyle w:val="TableContents"/>
              <w:bidi w:val="0"/>
              <w:spacing w:before="0" w:after="283"/>
              <w:jc w:val="right"/>
              <w:rPr/>
            </w:pPr>
            <w:r>
              <w:rPr/>
              <w:t>—</w:t>
            </w:r>
          </w:p>
        </w:tc>
        <w:tc>
          <w:tcPr>
            <w:tcW w:w="113" w:type="dxa"/>
            <w:tcBorders/>
            <w:shd w:fill="FFFFFF" w:val="clear"/>
            <w:tcMar>
              <w:bottom w:w="0" w:type="dxa"/>
            </w:tcMar>
            <w:vAlign w:val="center"/>
          </w:tcPr>
          <w:p>
            <w:pPr>
              <w:pStyle w:val="TableContents"/>
              <w:bidi w:val="0"/>
              <w:spacing w:before="0" w:after="283"/>
              <w:jc w:val="left"/>
              <w:rPr/>
            </w:pPr>
            <w:r>
              <w:rPr/>
              <w:t> </w:t>
            </w:r>
          </w:p>
        </w:tc>
      </w:tr>
      <w:tr>
        <w:trPr/>
        <w:tc>
          <w:tcPr>
            <w:tcW w:w="2974" w:type="dxa"/>
            <w:tcBorders/>
            <w:shd w:fill="CCEEFF" w:val="clear"/>
            <w:tcMar>
              <w:bottom w:w="0" w:type="dxa"/>
            </w:tcMar>
            <w:vAlign w:val="center"/>
          </w:tcPr>
          <w:p>
            <w:pPr>
              <w:pStyle w:val="TableContents"/>
              <w:bidi w:val="0"/>
              <w:spacing w:before="0" w:after="283"/>
              <w:jc w:val="left"/>
              <w:rPr/>
            </w:pPr>
            <w:r>
              <w:rPr/>
              <w:t>Interest expense</w:t>
            </w:r>
          </w:p>
        </w:tc>
        <w:tc>
          <w:tcPr>
            <w:tcW w:w="60" w:type="dxa"/>
            <w:tcBorders/>
            <w:shd w:fill="CCEEFF" w:val="clear"/>
            <w:tcMar>
              <w:bottom w:w="0" w:type="dxa"/>
            </w:tcMar>
            <w:vAlign w:val="center"/>
          </w:tcPr>
          <w:p>
            <w:pPr>
              <w:pStyle w:val="TableContents"/>
              <w:bidi w:val="0"/>
              <w:spacing w:before="0" w:after="283"/>
              <w:jc w:val="left"/>
              <w:rPr/>
            </w:pPr>
            <w:r>
              <w:rPr/>
              <w:t> </w:t>
            </w:r>
          </w:p>
        </w:tc>
        <w:tc>
          <w:tcPr>
            <w:tcW w:w="2901" w:type="dxa"/>
            <w:tcBorders/>
            <w:shd w:fill="CCEEFF" w:val="clear"/>
            <w:tcMar>
              <w:bottom w:w="0" w:type="dxa"/>
            </w:tcMar>
            <w:vAlign w:val="center"/>
          </w:tcPr>
          <w:p>
            <w:pPr>
              <w:pStyle w:val="TableContents"/>
              <w:bidi w:val="0"/>
              <w:spacing w:before="0" w:after="283"/>
              <w:jc w:val="left"/>
              <w:rPr/>
            </w:pPr>
            <w:r>
              <w:rPr/>
              <w:t>Interest expense, net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(88,252</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6" w:type="dxa"/>
            <w:tcBorders/>
            <w:shd w:fill="CCEEFF" w:val="clear"/>
            <w:tcMar>
              <w:bottom w:w="0" w:type="dxa"/>
            </w:tcMar>
            <w:vAlign w:val="center"/>
          </w:tcPr>
          <w:p>
            <w:pPr>
              <w:pStyle w:val="TableContents"/>
              <w:bidi w:val="0"/>
              <w:spacing w:before="0" w:after="283"/>
              <w:jc w:val="left"/>
              <w:rPr/>
            </w:pPr>
            <w:r>
              <w:rPr/>
              <w:t> </w:t>
            </w:r>
          </w:p>
        </w:tc>
        <w:tc>
          <w:tcPr>
            <w:tcW w:w="1039" w:type="dxa"/>
            <w:tcBorders/>
            <w:shd w:fill="CCEEFF" w:val="clear"/>
            <w:tcMar>
              <w:bottom w:w="0" w:type="dxa"/>
            </w:tcMar>
            <w:vAlign w:val="center"/>
          </w:tcPr>
          <w:p>
            <w:pPr>
              <w:pStyle w:val="TableContents"/>
              <w:bidi w:val="0"/>
              <w:spacing w:before="0" w:after="283"/>
              <w:jc w:val="right"/>
              <w:rPr/>
            </w:pPr>
            <w:r>
              <w:rPr/>
              <w:t>(5,277</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554" w:type="dxa"/>
            <w:tcBorders/>
            <w:shd w:fill="CCEEFF" w:val="clear"/>
            <w:tcMar>
              <w:bottom w:w="0" w:type="dxa"/>
            </w:tcMar>
            <w:vAlign w:val="center"/>
          </w:tcPr>
          <w:p>
            <w:pPr>
              <w:pStyle w:val="TableContents"/>
              <w:bidi w:val="0"/>
              <w:spacing w:before="0" w:after="283"/>
              <w:jc w:val="center"/>
              <w:rPr/>
            </w:pPr>
            <w:r>
              <w:rPr/>
              <w:t>(c)</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3" w:type="dxa"/>
            <w:tcBorders/>
            <w:shd w:fill="CCEEFF" w:val="clear"/>
            <w:tcMar>
              <w:bottom w:w="0" w:type="dxa"/>
            </w:tcMar>
            <w:vAlign w:val="center"/>
          </w:tcPr>
          <w:p>
            <w:pPr>
              <w:pStyle w:val="TableContents"/>
              <w:bidi w:val="0"/>
              <w:spacing w:before="0" w:after="283"/>
              <w:jc w:val="left"/>
              <w:rPr/>
            </w:pPr>
            <w:r>
              <w:rPr/>
              <w:t> </w:t>
            </w:r>
          </w:p>
        </w:tc>
        <w:tc>
          <w:tcPr>
            <w:tcW w:w="875" w:type="dxa"/>
            <w:tcBorders/>
            <w:shd w:fill="CCEEFF" w:val="clear"/>
            <w:tcMar>
              <w:bottom w:w="0" w:type="dxa"/>
            </w:tcMar>
            <w:vAlign w:val="center"/>
          </w:tcPr>
          <w:p>
            <w:pPr>
              <w:pStyle w:val="TableContents"/>
              <w:bidi w:val="0"/>
              <w:spacing w:before="0" w:after="283"/>
              <w:jc w:val="right"/>
              <w:rPr/>
            </w:pPr>
            <w:r>
              <w:rPr/>
              <w:t>(93,529</w:t>
            </w:r>
          </w:p>
        </w:tc>
        <w:tc>
          <w:tcPr>
            <w:tcW w:w="113" w:type="dxa"/>
            <w:tcBorders/>
            <w:shd w:fill="CCEEFF" w:val="clear"/>
            <w:tcMar>
              <w:bottom w:w="0" w:type="dxa"/>
            </w:tcMar>
            <w:vAlign w:val="center"/>
          </w:tcPr>
          <w:p>
            <w:pPr>
              <w:pStyle w:val="TableContents"/>
              <w:bidi w:val="0"/>
              <w:spacing w:before="0" w:after="283"/>
              <w:jc w:val="left"/>
              <w:rPr/>
            </w:pPr>
            <w:r>
              <w:rPr/>
              <w:t>)</w:t>
            </w:r>
          </w:p>
        </w:tc>
      </w:tr>
      <w:tr>
        <w:trPr/>
        <w:tc>
          <w:tcPr>
            <w:tcW w:w="2974" w:type="dxa"/>
            <w:tcBorders/>
            <w:shd w:fill="FFFFFF" w:val="clear"/>
            <w:tcMar>
              <w:bottom w:w="0" w:type="dxa"/>
            </w:tcMar>
            <w:vAlign w:val="center"/>
          </w:tcPr>
          <w:p>
            <w:pPr>
              <w:pStyle w:val="TableContents"/>
              <w:bidi w:val="0"/>
              <w:spacing w:before="0" w:after="283"/>
              <w:jc w:val="left"/>
              <w:rPr/>
            </w:pPr>
            <w:r>
              <w:rPr/>
              <w:t>Interest income</w:t>
            </w:r>
          </w:p>
        </w:tc>
        <w:tc>
          <w:tcPr>
            <w:tcW w:w="60" w:type="dxa"/>
            <w:tcBorders/>
            <w:shd w:fill="FFFFFF" w:val="clear"/>
            <w:tcMar>
              <w:bottom w:w="0" w:type="dxa"/>
            </w:tcMar>
            <w:vAlign w:val="center"/>
          </w:tcPr>
          <w:p>
            <w:pPr>
              <w:pStyle w:val="TableContents"/>
              <w:bidi w:val="0"/>
              <w:spacing w:before="0" w:after="283"/>
              <w:jc w:val="left"/>
              <w:rPr/>
            </w:pPr>
            <w:r>
              <w:rPr/>
              <w:t> </w:t>
            </w:r>
          </w:p>
        </w:tc>
        <w:tc>
          <w:tcPr>
            <w:tcW w:w="2901"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6" w:type="dxa"/>
            <w:tcBorders/>
            <w:shd w:fill="FFFFFF" w:val="clear"/>
            <w:tcMar>
              <w:bottom w:w="0" w:type="dxa"/>
            </w:tcMar>
            <w:vAlign w:val="center"/>
          </w:tcPr>
          <w:p>
            <w:pPr>
              <w:pStyle w:val="TableContents"/>
              <w:bidi w:val="0"/>
              <w:spacing w:before="0" w:after="283"/>
              <w:jc w:val="left"/>
              <w:rPr/>
            </w:pPr>
            <w:r>
              <w:rPr/>
              <w:t> </w:t>
            </w:r>
          </w:p>
        </w:tc>
        <w:tc>
          <w:tcPr>
            <w:tcW w:w="1039" w:type="dxa"/>
            <w:tcBorders/>
            <w:shd w:fill="FFFFFF" w:val="clear"/>
            <w:tcMar>
              <w:bottom w:w="0" w:type="dxa"/>
            </w:tcMar>
            <w:vAlign w:val="center"/>
          </w:tcPr>
          <w:p>
            <w:pPr>
              <w:pStyle w:val="TableContents"/>
              <w:bidi w:val="0"/>
              <w:spacing w:before="0" w:after="283"/>
              <w:jc w:val="right"/>
              <w:rPr/>
            </w:pPr>
            <w:r>
              <w:rPr/>
              <w:t>5,277</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54" w:type="dxa"/>
            <w:tcBorders/>
            <w:shd w:fill="FFFFFF" w:val="clear"/>
            <w:tcMar>
              <w:bottom w:w="0" w:type="dxa"/>
            </w:tcMar>
            <w:vAlign w:val="center"/>
          </w:tcPr>
          <w:p>
            <w:pPr>
              <w:pStyle w:val="TableContents"/>
              <w:bidi w:val="0"/>
              <w:spacing w:before="0" w:after="283"/>
              <w:jc w:val="center"/>
              <w:rPr/>
            </w:pPr>
            <w:r>
              <w:rPr/>
              <w:t>(c)</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3" w:type="dxa"/>
            <w:tcBorders/>
            <w:shd w:fill="FFFFFF" w:val="clear"/>
            <w:tcMar>
              <w:bottom w:w="0" w:type="dxa"/>
            </w:tcMar>
            <w:vAlign w:val="center"/>
          </w:tcPr>
          <w:p>
            <w:pPr>
              <w:pStyle w:val="TableContents"/>
              <w:bidi w:val="0"/>
              <w:spacing w:before="0" w:after="283"/>
              <w:jc w:val="left"/>
              <w:rPr/>
            </w:pPr>
            <w:r>
              <w:rPr/>
              <w:t> </w:t>
            </w:r>
          </w:p>
        </w:tc>
        <w:tc>
          <w:tcPr>
            <w:tcW w:w="875" w:type="dxa"/>
            <w:tcBorders/>
            <w:shd w:fill="FFFFFF" w:val="clear"/>
            <w:tcMar>
              <w:bottom w:w="0" w:type="dxa"/>
            </w:tcMar>
            <w:vAlign w:val="center"/>
          </w:tcPr>
          <w:p>
            <w:pPr>
              <w:pStyle w:val="TableContents"/>
              <w:bidi w:val="0"/>
              <w:spacing w:before="0" w:after="283"/>
              <w:jc w:val="right"/>
              <w:rPr/>
            </w:pPr>
            <w:r>
              <w:rPr/>
              <w:t>5,277</w:t>
            </w:r>
          </w:p>
        </w:tc>
        <w:tc>
          <w:tcPr>
            <w:tcW w:w="113" w:type="dxa"/>
            <w:tcBorders/>
            <w:shd w:fill="FFFFFF" w:val="clear"/>
            <w:tcMar>
              <w:bottom w:w="0" w:type="dxa"/>
            </w:tcMar>
            <w:vAlign w:val="center"/>
          </w:tcPr>
          <w:p>
            <w:pPr>
              <w:pStyle w:val="TableContents"/>
              <w:bidi w:val="0"/>
              <w:spacing w:before="0" w:after="283"/>
              <w:jc w:val="left"/>
              <w:rPr/>
            </w:pPr>
            <w:r>
              <w:rPr/>
              <w:t> </w:t>
            </w:r>
          </w:p>
        </w:tc>
      </w:tr>
      <w:tr>
        <w:trPr/>
        <w:tc>
          <w:tcPr>
            <w:tcW w:w="2974" w:type="dxa"/>
            <w:tcBorders/>
            <w:shd w:fill="CCEEFF" w:val="clear"/>
            <w:tcMar>
              <w:bottom w:w="0" w:type="dxa"/>
            </w:tcMar>
            <w:vAlign w:val="center"/>
          </w:tcPr>
          <w:p>
            <w:pPr>
              <w:pStyle w:val="TableContents"/>
              <w:bidi w:val="0"/>
              <w:spacing w:before="0" w:after="283"/>
              <w:jc w:val="left"/>
              <w:rPr/>
            </w:pPr>
            <w:r>
              <w:rPr/>
              <w:t>Loss on foreign exchange</w:t>
            </w:r>
          </w:p>
        </w:tc>
        <w:tc>
          <w:tcPr>
            <w:tcW w:w="60" w:type="dxa"/>
            <w:tcBorders/>
            <w:shd w:fill="CCEEFF" w:val="clear"/>
            <w:tcMar>
              <w:bottom w:w="0" w:type="dxa"/>
            </w:tcMar>
            <w:vAlign w:val="center"/>
          </w:tcPr>
          <w:p>
            <w:pPr>
              <w:pStyle w:val="TableContents"/>
              <w:bidi w:val="0"/>
              <w:spacing w:before="0" w:after="283"/>
              <w:jc w:val="left"/>
              <w:rPr/>
            </w:pPr>
            <w:r>
              <w:rPr/>
              <w:t> </w:t>
            </w:r>
          </w:p>
        </w:tc>
        <w:tc>
          <w:tcPr>
            <w:tcW w:w="2901"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6" w:type="dxa"/>
            <w:tcBorders/>
            <w:shd w:fill="CCEEFF" w:val="clear"/>
            <w:tcMar>
              <w:bottom w:w="0" w:type="dxa"/>
            </w:tcMar>
            <w:vAlign w:val="center"/>
          </w:tcPr>
          <w:p>
            <w:pPr>
              <w:pStyle w:val="TableContents"/>
              <w:bidi w:val="0"/>
              <w:spacing w:before="0" w:after="283"/>
              <w:jc w:val="left"/>
              <w:rPr/>
            </w:pPr>
            <w:r>
              <w:rPr/>
              <w:t> </w:t>
            </w:r>
          </w:p>
        </w:tc>
        <w:tc>
          <w:tcPr>
            <w:tcW w:w="1039" w:type="dxa"/>
            <w:tcBorders/>
            <w:shd w:fill="CCEEFF" w:val="clear"/>
            <w:tcMar>
              <w:bottom w:w="0" w:type="dxa"/>
            </w:tcMar>
            <w:vAlign w:val="center"/>
          </w:tcPr>
          <w:p>
            <w:pPr>
              <w:pStyle w:val="TableContents"/>
              <w:bidi w:val="0"/>
              <w:spacing w:before="0" w:after="283"/>
              <w:jc w:val="right"/>
              <w:rPr/>
            </w:pPr>
            <w:r>
              <w:rPr/>
              <w:t>(2,823</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554" w:type="dxa"/>
            <w:tcBorders/>
            <w:shd w:fill="CCEEFF" w:val="clear"/>
            <w:tcMar>
              <w:bottom w:w="0" w:type="dxa"/>
            </w:tcMar>
            <w:vAlign w:val="center"/>
          </w:tcPr>
          <w:p>
            <w:pPr>
              <w:pStyle w:val="TableContents"/>
              <w:bidi w:val="0"/>
              <w:spacing w:before="0" w:after="283"/>
              <w:jc w:val="center"/>
              <w:rPr/>
            </w:pPr>
            <w:r>
              <w:rPr/>
              <w: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3" w:type="dxa"/>
            <w:tcBorders/>
            <w:shd w:fill="CCEEFF" w:val="clear"/>
            <w:tcMar>
              <w:bottom w:w="0" w:type="dxa"/>
            </w:tcMar>
            <w:vAlign w:val="center"/>
          </w:tcPr>
          <w:p>
            <w:pPr>
              <w:pStyle w:val="TableContents"/>
              <w:bidi w:val="0"/>
              <w:spacing w:before="0" w:after="283"/>
              <w:jc w:val="left"/>
              <w:rPr/>
            </w:pPr>
            <w:r>
              <w:rPr/>
              <w:t> </w:t>
            </w:r>
          </w:p>
        </w:tc>
        <w:tc>
          <w:tcPr>
            <w:tcW w:w="875" w:type="dxa"/>
            <w:tcBorders/>
            <w:shd w:fill="CCEEFF" w:val="clear"/>
            <w:tcMar>
              <w:bottom w:w="0" w:type="dxa"/>
            </w:tcMar>
            <w:vAlign w:val="center"/>
          </w:tcPr>
          <w:p>
            <w:pPr>
              <w:pStyle w:val="TableContents"/>
              <w:bidi w:val="0"/>
              <w:spacing w:before="0" w:after="283"/>
              <w:jc w:val="right"/>
              <w:rPr/>
            </w:pPr>
            <w:r>
              <w:rPr/>
              <w:t>(2,823</w:t>
            </w:r>
          </w:p>
        </w:tc>
        <w:tc>
          <w:tcPr>
            <w:tcW w:w="113" w:type="dxa"/>
            <w:tcBorders/>
            <w:shd w:fill="CCEEFF" w:val="clear"/>
            <w:tcMar>
              <w:bottom w:w="0" w:type="dxa"/>
            </w:tcMar>
            <w:vAlign w:val="center"/>
          </w:tcPr>
          <w:p>
            <w:pPr>
              <w:pStyle w:val="TableContents"/>
              <w:bidi w:val="0"/>
              <w:spacing w:before="0" w:after="283"/>
              <w:jc w:val="left"/>
              <w:rPr/>
            </w:pPr>
            <w:r>
              <w:rPr/>
              <w:t>)</w:t>
            </w:r>
          </w:p>
        </w:tc>
      </w:tr>
      <w:tr>
        <w:trPr/>
        <w:tc>
          <w:tcPr>
            <w:tcW w:w="2974" w:type="dxa"/>
            <w:tcBorders/>
            <w:shd w:fill="FFFFFF" w:val="clear"/>
            <w:tcMar>
              <w:bottom w:w="0" w:type="dxa"/>
            </w:tcMar>
            <w:vAlign w:val="center"/>
          </w:tcPr>
          <w:p>
            <w:pPr>
              <w:pStyle w:val="TableContents"/>
              <w:bidi w:val="0"/>
              <w:spacing w:before="0" w:after="283"/>
              <w:jc w:val="left"/>
              <w:rPr/>
            </w:pPr>
            <w:r>
              <w:rPr/>
              <w:t>Other income, net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901" w:type="dxa"/>
            <w:tcBorders/>
            <w:shd w:fill="FFFFFF" w:val="clear"/>
            <w:tcMar>
              <w:bottom w:w="0" w:type="dxa"/>
            </w:tcMar>
            <w:vAlign w:val="center"/>
          </w:tcPr>
          <w:p>
            <w:pPr>
              <w:pStyle w:val="TableContents"/>
              <w:bidi w:val="0"/>
              <w:spacing w:before="0" w:after="283"/>
              <w:jc w:val="left"/>
              <w:rPr/>
            </w:pPr>
            <w:r>
              <w:rPr/>
              <w:t>Other expense, net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(2,915</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6" w:type="dxa"/>
            <w:tcBorders/>
            <w:shd w:fill="FFFFFF" w:val="clear"/>
            <w:tcMar>
              <w:bottom w:w="0" w:type="dxa"/>
            </w:tcMar>
            <w:vAlign w:val="center"/>
          </w:tcPr>
          <w:p>
            <w:pPr>
              <w:pStyle w:val="TableContents"/>
              <w:bidi w:val="0"/>
              <w:spacing w:before="0" w:after="283"/>
              <w:jc w:val="left"/>
              <w:rPr/>
            </w:pPr>
            <w:r>
              <w:rPr/>
              <w:t> </w:t>
            </w:r>
          </w:p>
        </w:tc>
        <w:tc>
          <w:tcPr>
            <w:tcW w:w="1039"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54" w:type="dxa"/>
            <w:tcBorders/>
            <w:shd w:fill="FFFFFF" w:val="clear"/>
            <w:tcMar>
              <w:bottom w:w="0" w:type="dxa"/>
            </w:tcMar>
            <w:vAlign w:val="center"/>
          </w:tcPr>
          <w:p>
            <w:pPr>
              <w:pStyle w:val="TableContents"/>
              <w:bidi w:val="0"/>
              <w:spacing w:before="0" w:after="283"/>
              <w:jc w:val="center"/>
              <w:rPr/>
            </w:pPr>
            <w:r>
              <w:rPr/>
              <w:t>(d) (e)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3" w:type="dxa"/>
            <w:tcBorders/>
            <w:shd w:fill="FFFFFF" w:val="clear"/>
            <w:tcMar>
              <w:bottom w:w="0" w:type="dxa"/>
            </w:tcMar>
            <w:vAlign w:val="center"/>
          </w:tcPr>
          <w:p>
            <w:pPr>
              <w:pStyle w:val="TableContents"/>
              <w:bidi w:val="0"/>
              <w:spacing w:before="0" w:after="283"/>
              <w:jc w:val="left"/>
              <w:rPr/>
            </w:pPr>
            <w:r>
              <w:rPr/>
              <w:t> </w:t>
            </w:r>
          </w:p>
        </w:tc>
        <w:tc>
          <w:tcPr>
            <w:tcW w:w="875" w:type="dxa"/>
            <w:tcBorders/>
            <w:shd w:fill="FFFFFF" w:val="clear"/>
            <w:tcMar>
              <w:bottom w:w="0" w:type="dxa"/>
            </w:tcMar>
            <w:vAlign w:val="center"/>
          </w:tcPr>
          <w:p>
            <w:pPr>
              <w:pStyle w:val="TableContents"/>
              <w:bidi w:val="0"/>
              <w:spacing w:before="0" w:after="283"/>
              <w:jc w:val="right"/>
              <w:rPr/>
            </w:pPr>
            <w:r>
              <w:rPr/>
              <w:t>(2,915</w:t>
            </w:r>
          </w:p>
        </w:tc>
        <w:tc>
          <w:tcPr>
            <w:tcW w:w="113" w:type="dxa"/>
            <w:tcBorders/>
            <w:shd w:fill="FFFFFF" w:val="clear"/>
            <w:tcMar>
              <w:bottom w:w="0" w:type="dxa"/>
            </w:tcMar>
            <w:vAlign w:val="center"/>
          </w:tcPr>
          <w:p>
            <w:pPr>
              <w:pStyle w:val="TableContents"/>
              <w:bidi w:val="0"/>
              <w:spacing w:before="0" w:after="283"/>
              <w:jc w:val="left"/>
              <w:rPr/>
            </w:pPr>
            <w:r>
              <w:rPr/>
              <w:t>)</w:t>
            </w:r>
          </w:p>
        </w:tc>
      </w:tr>
      <w:tr>
        <w:trPr/>
        <w:tc>
          <w:tcPr>
            <w:tcW w:w="2974"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901" w:type="dxa"/>
            <w:tcBorders/>
            <w:shd w:fill="CCEEFF" w:val="clear"/>
            <w:tcMar>
              <w:bottom w:w="0" w:type="dxa"/>
            </w:tcMar>
            <w:vAlign w:val="center"/>
          </w:tcPr>
          <w:p>
            <w:pPr>
              <w:pStyle w:val="TableContents"/>
              <w:bidi w:val="0"/>
              <w:spacing w:before="0" w:after="283"/>
              <w:jc w:val="left"/>
              <w:rPr/>
            </w:pPr>
            <w:r>
              <w:rPr/>
              <w:t>Loss on equity method investments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(2,823</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6" w:type="dxa"/>
            <w:tcBorders/>
            <w:shd w:fill="CCEEFF" w:val="clear"/>
            <w:tcMar>
              <w:bottom w:w="0" w:type="dxa"/>
            </w:tcMar>
            <w:vAlign w:val="center"/>
          </w:tcPr>
          <w:p>
            <w:pPr>
              <w:pStyle w:val="TableContents"/>
              <w:bidi w:val="0"/>
              <w:spacing w:before="0" w:after="283"/>
              <w:jc w:val="left"/>
              <w:rPr/>
            </w:pPr>
            <w:r>
              <w:rPr/>
              <w:t> </w:t>
            </w:r>
          </w:p>
        </w:tc>
        <w:tc>
          <w:tcPr>
            <w:tcW w:w="1039" w:type="dxa"/>
            <w:tcBorders/>
            <w:shd w:fill="CCEEFF" w:val="clear"/>
            <w:tcMar>
              <w:bottom w:w="0" w:type="dxa"/>
            </w:tcMar>
            <w:vAlign w:val="center"/>
          </w:tcPr>
          <w:p>
            <w:pPr>
              <w:pStyle w:val="TableContents"/>
              <w:bidi w:val="0"/>
              <w:spacing w:before="0" w:after="283"/>
              <w:jc w:val="right"/>
              <w:rPr/>
            </w:pPr>
            <w:r>
              <w:rPr/>
              <w:t>2,823</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54" w:type="dxa"/>
            <w:tcBorders/>
            <w:shd w:fill="CCEEFF" w:val="clear"/>
            <w:tcMar>
              <w:bottom w:w="0" w:type="dxa"/>
            </w:tcMar>
            <w:vAlign w:val="center"/>
          </w:tcPr>
          <w:p>
            <w:pPr>
              <w:pStyle w:val="TableContents"/>
              <w:bidi w:val="0"/>
              <w:spacing w:before="0" w:after="283"/>
              <w:jc w:val="center"/>
              <w:rPr/>
            </w:pPr>
            <w:r>
              <w:rPr/>
              <w:t>(e)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3" w:type="dxa"/>
            <w:tcBorders/>
            <w:shd w:fill="CCEEFF" w:val="clear"/>
            <w:tcMar>
              <w:bottom w:w="0" w:type="dxa"/>
            </w:tcMar>
            <w:vAlign w:val="center"/>
          </w:tcPr>
          <w:p>
            <w:pPr>
              <w:pStyle w:val="TableContents"/>
              <w:bidi w:val="0"/>
              <w:spacing w:before="0" w:after="283"/>
              <w:jc w:val="left"/>
              <w:rPr/>
            </w:pPr>
            <w:r>
              <w:rPr/>
              <w:t> </w:t>
            </w:r>
          </w:p>
        </w:tc>
        <w:tc>
          <w:tcPr>
            <w:tcW w:w="875" w:type="dxa"/>
            <w:tcBorders/>
            <w:shd w:fill="CCEEFF" w:val="clear"/>
            <w:tcMar>
              <w:bottom w:w="0" w:type="dxa"/>
            </w:tcMar>
            <w:vAlign w:val="center"/>
          </w:tcPr>
          <w:p>
            <w:pPr>
              <w:pStyle w:val="TableContents"/>
              <w:bidi w:val="0"/>
              <w:spacing w:before="0" w:after="283"/>
              <w:jc w:val="right"/>
              <w:rPr/>
            </w:pPr>
            <w:r>
              <w:rPr/>
              <w:t>—</w:t>
            </w:r>
          </w:p>
        </w:tc>
        <w:tc>
          <w:tcPr>
            <w:tcW w:w="113" w:type="dxa"/>
            <w:tcBorders/>
            <w:shd w:fill="CCEEFF" w:val="clear"/>
            <w:tcMar>
              <w:bottom w:w="0" w:type="dxa"/>
            </w:tcMar>
            <w:vAlign w:val="center"/>
          </w:tcPr>
          <w:p>
            <w:pPr>
              <w:pStyle w:val="TableContents"/>
              <w:bidi w:val="0"/>
              <w:spacing w:before="0" w:after="283"/>
              <w:jc w:val="left"/>
              <w:rPr/>
            </w:pPr>
            <w:r>
              <w:rPr/>
              <w:t> </w:t>
            </w:r>
          </w:p>
        </w:tc>
      </w:tr>
      <w:tr>
        <w:trPr/>
        <w:tc>
          <w:tcPr>
            <w:tcW w:w="2974" w:type="dxa"/>
            <w:tcBorders/>
            <w:shd w:fill="FFFFFF" w:val="clear"/>
            <w:tcMar>
              <w:bottom w:w="0" w:type="dxa"/>
            </w:tcMar>
            <w:vAlign w:val="center"/>
          </w:tcPr>
          <w:p>
            <w:pPr>
              <w:pStyle w:val="TableContents"/>
              <w:bidi w:val="0"/>
              <w:spacing w:before="0" w:after="283"/>
              <w:jc w:val="left"/>
              <w:rPr/>
            </w:pPr>
            <w:r>
              <w:rPr/>
              <w:t>Benefit (provision) for income taxes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901" w:type="dxa"/>
            <w:tcBorders/>
            <w:shd w:fill="FFFFFF" w:val="clear"/>
            <w:tcMar>
              <w:bottom w:w="0" w:type="dxa"/>
            </w:tcMar>
            <w:vAlign w:val="center"/>
          </w:tcPr>
          <w:p>
            <w:pPr>
              <w:pStyle w:val="TableContents"/>
              <w:bidi w:val="0"/>
              <w:spacing w:before="0" w:after="283"/>
              <w:jc w:val="left"/>
              <w:rPr/>
            </w:pPr>
            <w:r>
              <w:rPr/>
              <w:t>Income tax expense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(27,618</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6" w:type="dxa"/>
            <w:tcBorders/>
            <w:shd w:fill="FFFFFF" w:val="clear"/>
            <w:tcMar>
              <w:bottom w:w="0" w:type="dxa"/>
            </w:tcMar>
            <w:vAlign w:val="center"/>
          </w:tcPr>
          <w:p>
            <w:pPr>
              <w:pStyle w:val="TableContents"/>
              <w:bidi w:val="0"/>
              <w:spacing w:before="0" w:after="283"/>
              <w:jc w:val="left"/>
              <w:rPr/>
            </w:pPr>
            <w:r>
              <w:rPr/>
              <w:t> </w:t>
            </w:r>
          </w:p>
        </w:tc>
        <w:tc>
          <w:tcPr>
            <w:tcW w:w="1039"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54"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3" w:type="dxa"/>
            <w:tcBorders/>
            <w:shd w:fill="FFFFFF" w:val="clear"/>
            <w:tcMar>
              <w:bottom w:w="0" w:type="dxa"/>
            </w:tcMar>
            <w:vAlign w:val="center"/>
          </w:tcPr>
          <w:p>
            <w:pPr>
              <w:pStyle w:val="TableContents"/>
              <w:bidi w:val="0"/>
              <w:spacing w:before="0" w:after="283"/>
              <w:jc w:val="left"/>
              <w:rPr/>
            </w:pPr>
            <w:r>
              <w:rPr/>
              <w:t> </w:t>
            </w:r>
          </w:p>
        </w:tc>
        <w:tc>
          <w:tcPr>
            <w:tcW w:w="875" w:type="dxa"/>
            <w:tcBorders/>
            <w:shd w:fill="FFFFFF" w:val="clear"/>
            <w:tcMar>
              <w:bottom w:w="0" w:type="dxa"/>
            </w:tcMar>
            <w:vAlign w:val="center"/>
          </w:tcPr>
          <w:p>
            <w:pPr>
              <w:pStyle w:val="TableContents"/>
              <w:bidi w:val="0"/>
              <w:spacing w:before="0" w:after="283"/>
              <w:jc w:val="right"/>
              <w:rPr/>
            </w:pPr>
            <w:r>
              <w:rPr/>
              <w:t>(27,618</w:t>
            </w:r>
          </w:p>
        </w:tc>
        <w:tc>
          <w:tcPr>
            <w:tcW w:w="113" w:type="dxa"/>
            <w:tcBorders/>
            <w:shd w:fill="FFFFFF" w:val="clear"/>
            <w:tcMar>
              <w:bottom w:w="0" w:type="dxa"/>
            </w:tcMar>
            <w:vAlign w:val="center"/>
          </w:tcPr>
          <w:p>
            <w:pPr>
              <w:pStyle w:val="TableContents"/>
              <w:bidi w:val="0"/>
              <w:spacing w:before="0" w:after="283"/>
              <w:jc w:val="left"/>
              <w:rPr/>
            </w:pPr>
            <w:r>
              <w:rPr/>
              <w:t>)</w:t>
            </w:r>
          </w:p>
        </w:tc>
      </w:tr>
    </w:tbl>
    <w:p>
      <w:pPr>
        <w:pStyle w:val="TextBody"/>
        <w:bidi w:val="0"/>
        <w:ind w:left="720" w:right="0" w:hanging="360"/>
        <w:jc w:val="left"/>
        <w:rPr>
          <w:bdr w:val="single" w:sz="8" w:space="1" w:color="000000"/>
        </w:rPr>
      </w:pPr>
      <w:r>
        <w:rPr>
          <w:bdr w:val="single" w:sz="8" w:space="1" w:color="000000"/>
        </w:rPr>
        <w:t> </w:t>
      </w:r>
    </w:p>
    <w:tbl>
      <w:tblPr>
        <w:tblW w:w="6340" w:type="dxa"/>
        <w:jc w:val="left"/>
        <w:tblInd w:w="0" w:type="dxa"/>
        <w:tblLayout w:type="fixed"/>
        <w:tblCellMar>
          <w:top w:w="0" w:type="dxa"/>
          <w:left w:w="0" w:type="dxa"/>
          <w:bottom w:w="0" w:type="dxa"/>
          <w:right w:w="0" w:type="dxa"/>
        </w:tblCellMar>
      </w:tblPr>
      <w:tblGrid>
        <w:gridCol w:w="75"/>
        <w:gridCol w:w="140"/>
        <w:gridCol w:w="612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18"/>
              </w:rPr>
            </w:pPr>
            <w:r>
              <w:rPr>
                <w:sz w:val="18"/>
              </w:rPr>
              <w:t>a.</w:t>
            </w:r>
          </w:p>
        </w:tc>
        <w:tc>
          <w:tcPr>
            <w:tcW w:w="6125" w:type="dxa"/>
            <w:tcBorders/>
            <w:vAlign w:val="center"/>
          </w:tcPr>
          <w:p>
            <w:pPr>
              <w:pStyle w:val="TableContents"/>
              <w:bidi w:val="0"/>
              <w:spacing w:before="0" w:after="283"/>
              <w:jc w:val="both"/>
              <w:rPr>
                <w:sz w:val="18"/>
              </w:rPr>
            </w:pPr>
            <w:r>
              <w:rPr>
                <w:sz w:val="18"/>
              </w:rPr>
              <w:t>Reclassification of $156,592 of Engineering and support services to Service revenues.</w:t>
            </w:r>
          </w:p>
        </w:tc>
      </w:tr>
    </w:tbl>
    <w:tbl>
      <w:tblPr>
        <w:tblW w:w="10205" w:type="dxa"/>
        <w:jc w:val="left"/>
        <w:tblInd w:w="0" w:type="dxa"/>
        <w:tblLayout w:type="fixed"/>
        <w:tblCellMar>
          <w:top w:w="0" w:type="dxa"/>
          <w:left w:w="0" w:type="dxa"/>
          <w:bottom w:w="0" w:type="dxa"/>
          <w:right w:w="0" w:type="dxa"/>
        </w:tblCellMar>
      </w:tblPr>
      <w:tblGrid>
        <w:gridCol w:w="75"/>
        <w:gridCol w:w="155"/>
        <w:gridCol w:w="9975"/>
      </w:tblGrid>
      <w:tr>
        <w:trPr/>
        <w:tc>
          <w:tcPr>
            <w:tcW w:w="7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sz w:val="18"/>
              </w:rPr>
            </w:pPr>
            <w:r>
              <w:rPr>
                <w:sz w:val="18"/>
              </w:rPr>
              <w:t>b.</w:t>
            </w:r>
          </w:p>
        </w:tc>
        <w:tc>
          <w:tcPr>
            <w:tcW w:w="9975" w:type="dxa"/>
            <w:tcBorders/>
            <w:vAlign w:val="center"/>
          </w:tcPr>
          <w:p>
            <w:pPr>
              <w:pStyle w:val="TableContents"/>
              <w:bidi w:val="0"/>
              <w:spacing w:before="0" w:after="283"/>
              <w:jc w:val="both"/>
              <w:rPr>
                <w:sz w:val="18"/>
              </w:rPr>
            </w:pPr>
            <w:r>
              <w:rPr>
                <w:sz w:val="18"/>
              </w:rPr>
              <w:t>Reclassification of $210,207 of Depreciation and amortization consisting of $18,233 to Cost of product revenues, $178,146 to Cost of service revenues, and $13,828 to Selling, general and administrative.</w:t>
            </w:r>
          </w:p>
        </w:tc>
      </w:tr>
    </w:tbl>
    <w:tbl>
      <w:tblPr>
        <w:tblW w:w="5320" w:type="dxa"/>
        <w:jc w:val="left"/>
        <w:tblInd w:w="0" w:type="dxa"/>
        <w:tblLayout w:type="fixed"/>
        <w:tblCellMar>
          <w:top w:w="0" w:type="dxa"/>
          <w:left w:w="0" w:type="dxa"/>
          <w:bottom w:w="0" w:type="dxa"/>
          <w:right w:w="0" w:type="dxa"/>
        </w:tblCellMar>
      </w:tblPr>
      <w:tblGrid>
        <w:gridCol w:w="75"/>
        <w:gridCol w:w="140"/>
        <w:gridCol w:w="510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18"/>
              </w:rPr>
            </w:pPr>
            <w:r>
              <w:rPr>
                <w:sz w:val="18"/>
              </w:rPr>
              <w:t>c.</w:t>
            </w:r>
          </w:p>
        </w:tc>
        <w:tc>
          <w:tcPr>
            <w:tcW w:w="5105" w:type="dxa"/>
            <w:tcBorders/>
            <w:vAlign w:val="center"/>
          </w:tcPr>
          <w:p>
            <w:pPr>
              <w:pStyle w:val="TableContents"/>
              <w:bidi w:val="0"/>
              <w:spacing w:before="0" w:after="283"/>
              <w:jc w:val="both"/>
              <w:rPr>
                <w:sz w:val="18"/>
              </w:rPr>
            </w:pPr>
            <w:r>
              <w:rPr>
                <w:sz w:val="18"/>
              </w:rPr>
              <w:t>Reclassification of $5,277 from Interest expense, net to Interest income.</w:t>
            </w:r>
          </w:p>
        </w:tc>
      </w:tr>
    </w:tbl>
    <w:tbl>
      <w:tblPr>
        <w:tblW w:w="5965" w:type="dxa"/>
        <w:jc w:val="left"/>
        <w:tblInd w:w="0" w:type="dxa"/>
        <w:tblLayout w:type="fixed"/>
        <w:tblCellMar>
          <w:top w:w="0" w:type="dxa"/>
          <w:left w:w="0" w:type="dxa"/>
          <w:bottom w:w="0" w:type="dxa"/>
          <w:right w:w="0" w:type="dxa"/>
        </w:tblCellMar>
      </w:tblPr>
      <w:tblGrid>
        <w:gridCol w:w="75"/>
        <w:gridCol w:w="155"/>
        <w:gridCol w:w="5735"/>
      </w:tblGrid>
      <w:tr>
        <w:trPr/>
        <w:tc>
          <w:tcPr>
            <w:tcW w:w="7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sz w:val="18"/>
              </w:rPr>
            </w:pPr>
            <w:r>
              <w:rPr>
                <w:sz w:val="18"/>
              </w:rPr>
              <w:t>d.</w:t>
            </w:r>
          </w:p>
        </w:tc>
        <w:tc>
          <w:tcPr>
            <w:tcW w:w="5735" w:type="dxa"/>
            <w:tcBorders/>
            <w:vAlign w:val="center"/>
          </w:tcPr>
          <w:p>
            <w:pPr>
              <w:pStyle w:val="TableContents"/>
              <w:bidi w:val="0"/>
              <w:spacing w:before="0" w:after="283"/>
              <w:jc w:val="both"/>
              <w:rPr>
                <w:sz w:val="18"/>
              </w:rPr>
            </w:pPr>
            <w:r>
              <w:rPr>
                <w:sz w:val="18"/>
              </w:rPr>
              <w:t>Reclassification of $2,823 from Other expense, net to Loss on foreign exchange.</w:t>
            </w:r>
          </w:p>
        </w:tc>
      </w:tr>
    </w:tbl>
    <w:tbl>
      <w:tblPr>
        <w:tblW w:w="6625" w:type="dxa"/>
        <w:jc w:val="left"/>
        <w:tblInd w:w="0" w:type="dxa"/>
        <w:tblLayout w:type="fixed"/>
        <w:tblCellMar>
          <w:top w:w="0" w:type="dxa"/>
          <w:left w:w="0" w:type="dxa"/>
          <w:bottom w:w="0" w:type="dxa"/>
          <w:right w:w="0" w:type="dxa"/>
        </w:tblCellMar>
      </w:tblPr>
      <w:tblGrid>
        <w:gridCol w:w="75"/>
        <w:gridCol w:w="140"/>
        <w:gridCol w:w="6410"/>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18"/>
              </w:rPr>
            </w:pPr>
            <w:r>
              <w:rPr>
                <w:sz w:val="18"/>
              </w:rPr>
              <w:t>e.</w:t>
            </w:r>
          </w:p>
        </w:tc>
        <w:tc>
          <w:tcPr>
            <w:tcW w:w="6410" w:type="dxa"/>
            <w:tcBorders/>
            <w:vAlign w:val="center"/>
          </w:tcPr>
          <w:p>
            <w:pPr>
              <w:pStyle w:val="TableContents"/>
              <w:bidi w:val="0"/>
              <w:spacing w:before="0" w:after="283"/>
              <w:jc w:val="both"/>
              <w:rPr>
                <w:sz w:val="18"/>
              </w:rPr>
            </w:pPr>
            <w:r>
              <w:rPr>
                <w:sz w:val="18"/>
              </w:rPr>
              <w:t>Reclassification of $2,823 from Loss on equity method investments to Other expense, net.</w:t>
            </w:r>
          </w:p>
        </w:tc>
      </w:tr>
    </w:tbl>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4 - Preliminary Purchase Price Allocation</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Estimated Merger Consideration</w:t>
      </w:r>
    </w:p>
    <w:p>
      <w:pPr>
        <w:pStyle w:val="TextBody"/>
        <w:bidi w:val="0"/>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estimated aggregate Merger Consideration has been determined based on the volume weighted average price of shares of Rocket Lab Common Stock for the period of 10 consecutive trading days ending on August 7, 2026, the latest practicable date prior to the date of this Current Report on Form 8-K, of $69.3305.</w:t>
      </w:r>
    </w:p>
    <w:p>
      <w:pPr>
        <w:pStyle w:val="TextBody"/>
        <w:bidi w:val="0"/>
        <w:ind w:left="0" w:right="0" w:firstLine="540"/>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 forma financial information reflects estimated aggregate consideration of approximately $7,589,872 for the Mergers, as calculated below.</w:t>
      </w:r>
    </w:p>
    <w:p>
      <w:pPr>
        <w:pStyle w:val="TextBody"/>
        <w:bidi w:val="0"/>
        <w:ind w:left="0" w:right="0" w:firstLine="540"/>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preliminary purchase consideration consists of the Cash Consideration and the Stock Consideration. The actual fair value at the Closing will vary based on inputs such as the market price of Rocket Lab Common Stock and the number of shares of Iridium Common Stock outstanding. An estimate of the preliminary purchase consideration is as follows (in thousands, except number of shares and per share amounts):</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788"/>
        <w:gridCol w:w="60"/>
        <w:gridCol w:w="1334"/>
        <w:gridCol w:w="60"/>
        <w:gridCol w:w="193"/>
        <w:gridCol w:w="1692"/>
        <w:gridCol w:w="78"/>
      </w:tblGrid>
      <w:tr>
        <w:trPr/>
        <w:tc>
          <w:tcPr>
            <w:tcW w:w="6788" w:type="dxa"/>
            <w:tcBorders>
              <w:bottom w:val="single" w:sz="8" w:space="0" w:color="000000"/>
            </w:tcBorders>
            <w:vAlign w:val="center"/>
          </w:tcPr>
          <w:p>
            <w:pPr>
              <w:pStyle w:val="TableContents"/>
              <w:bidi w:val="0"/>
              <w:spacing w:before="0" w:after="283"/>
              <w:jc w:val="both"/>
              <w:rPr>
                <w:sz w:val="18"/>
              </w:rPr>
            </w:pPr>
            <w:r>
              <w:rPr>
                <w:sz w:val="18"/>
              </w:rPr>
              <w:t>(in thousands, except price per share).</w:t>
            </w:r>
          </w:p>
        </w:tc>
        <w:tc>
          <w:tcPr>
            <w:tcW w:w="60" w:type="dxa"/>
            <w:tcBorders/>
            <w:tcMar>
              <w:bottom w:w="0" w:type="dxa"/>
            </w:tcMar>
            <w:vAlign w:val="center"/>
          </w:tcPr>
          <w:p>
            <w:pPr>
              <w:pStyle w:val="TableContents"/>
              <w:bidi w:val="0"/>
              <w:spacing w:before="0" w:after="283"/>
              <w:jc w:val="left"/>
              <w:rPr/>
            </w:pPr>
            <w:r>
              <w:rPr/>
              <w:t> </w:t>
            </w:r>
          </w:p>
        </w:tc>
        <w:tc>
          <w:tcPr>
            <w:tcW w:w="1334"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885" w:type="dxa"/>
            <w:gridSpan w:val="2"/>
            <w:tcBorders>
              <w:bottom w:val="single" w:sz="8" w:space="0" w:color="000000"/>
            </w:tcBorders>
            <w:vAlign w:val="center"/>
          </w:tcPr>
          <w:p>
            <w:pPr>
              <w:pStyle w:val="TableContents"/>
              <w:bidi w:val="0"/>
              <w:spacing w:before="0" w:after="283"/>
              <w:jc w:val="center"/>
              <w:rPr>
                <w:b/>
                <w:sz w:val="18"/>
              </w:rPr>
            </w:pPr>
            <w:r>
              <w:rPr>
                <w:b/>
                <w:sz w:val="18"/>
              </w:rPr>
              <w:t>Estimated Purchase Price</w:t>
            </w:r>
          </w:p>
        </w:tc>
        <w:tc>
          <w:tcPr>
            <w:tcW w:w="78" w:type="dxa"/>
            <w:tcBorders/>
            <w:tcMar>
              <w:bottom w:w="0" w:type="dxa"/>
            </w:tcMar>
            <w:vAlign w:val="center"/>
          </w:tcPr>
          <w:p>
            <w:pPr>
              <w:pStyle w:val="TableContents"/>
              <w:bidi w:val="0"/>
              <w:spacing w:before="0" w:after="283"/>
              <w:jc w:val="left"/>
              <w:rPr/>
            </w:pPr>
            <w:r>
              <w:rPr/>
              <w:t> </w:t>
            </w:r>
          </w:p>
        </w:tc>
      </w:tr>
      <w:tr>
        <w:trPr/>
        <w:tc>
          <w:tcPr>
            <w:tcW w:w="6788" w:type="dxa"/>
            <w:tcBorders/>
            <w:shd w:fill="CCEEFF" w:val="clear"/>
            <w:tcMar>
              <w:bottom w:w="0" w:type="dxa"/>
            </w:tcMar>
            <w:vAlign w:val="center"/>
          </w:tcPr>
          <w:p>
            <w:pPr>
              <w:pStyle w:val="TableContents"/>
              <w:bidi w:val="0"/>
              <w:spacing w:before="0" w:after="283"/>
              <w:jc w:val="left"/>
              <w:rPr/>
            </w:pPr>
            <w:r>
              <w:rPr/>
              <w:t>Shares of Iridium Common Stock outstanding at June 30, 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34" w:type="dxa"/>
            <w:tcBorders/>
            <w:shd w:fill="CCEEFF" w:val="clear"/>
            <w:tcMar>
              <w:bottom w:w="0" w:type="dxa"/>
            </w:tcMar>
            <w:vAlign w:val="center"/>
          </w:tcPr>
          <w:p>
            <w:pPr>
              <w:pStyle w:val="TableContents"/>
              <w:bidi w:val="0"/>
              <w:spacing w:before="0" w:after="283"/>
              <w:jc w:val="center"/>
              <w:rPr>
                <w:b/>
              </w:rPr>
            </w:pPr>
            <w:r>
              <w:rPr>
                <w:b/>
              </w:rPr>
              <w:t>[A]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3" w:type="dxa"/>
            <w:tcBorders/>
            <w:shd w:fill="CCEEFF" w:val="clear"/>
            <w:tcMar>
              <w:bottom w:w="0" w:type="dxa"/>
            </w:tcMar>
            <w:vAlign w:val="center"/>
          </w:tcPr>
          <w:p>
            <w:pPr>
              <w:pStyle w:val="TableContents"/>
              <w:bidi w:val="0"/>
              <w:spacing w:before="0" w:after="283"/>
              <w:jc w:val="left"/>
              <w:rPr/>
            </w:pPr>
            <w:r>
              <w:rPr/>
              <w:t> </w:t>
            </w:r>
          </w:p>
        </w:tc>
        <w:tc>
          <w:tcPr>
            <w:tcW w:w="1692" w:type="dxa"/>
            <w:tcBorders/>
            <w:shd w:fill="CCEEFF" w:val="clear"/>
            <w:tcMar>
              <w:bottom w:w="0" w:type="dxa"/>
            </w:tcMar>
            <w:vAlign w:val="center"/>
          </w:tcPr>
          <w:p>
            <w:pPr>
              <w:pStyle w:val="TableContents"/>
              <w:bidi w:val="0"/>
              <w:spacing w:before="0" w:after="283"/>
              <w:jc w:val="right"/>
              <w:rPr/>
            </w:pPr>
            <w:r>
              <w:rPr/>
              <w:t>105,956,272</w:t>
            </w:r>
          </w:p>
        </w:tc>
        <w:tc>
          <w:tcPr>
            <w:tcW w:w="78" w:type="dxa"/>
            <w:tcBorders/>
            <w:shd w:fill="CCEEFF" w:val="clear"/>
            <w:tcMar>
              <w:bottom w:w="0" w:type="dxa"/>
            </w:tcMar>
            <w:vAlign w:val="center"/>
          </w:tcPr>
          <w:p>
            <w:pPr>
              <w:pStyle w:val="TableContents"/>
              <w:bidi w:val="0"/>
              <w:spacing w:before="0" w:after="283"/>
              <w:jc w:val="left"/>
              <w:rPr/>
            </w:pPr>
            <w:r>
              <w:rPr/>
              <w:t> </w:t>
            </w:r>
          </w:p>
        </w:tc>
      </w:tr>
      <w:tr>
        <w:trPr/>
        <w:tc>
          <w:tcPr>
            <w:tcW w:w="6788" w:type="dxa"/>
            <w:tcBorders/>
            <w:shd w:fill="FFFFFF" w:val="clear"/>
            <w:tcMar>
              <w:bottom w:w="0" w:type="dxa"/>
            </w:tcMar>
            <w:vAlign w:val="center"/>
          </w:tcPr>
          <w:p>
            <w:pPr>
              <w:pStyle w:val="TableContents"/>
              <w:bidi w:val="0"/>
              <w:spacing w:before="0" w:after="283"/>
              <w:jc w:val="left"/>
              <w:rPr>
                <w:b/>
              </w:rPr>
            </w:pPr>
            <w:r>
              <w:rPr>
                <w:b/>
              </w:rPr>
              <w:t>Total Stock Consideration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34"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3" w:type="dxa"/>
            <w:tcBorders/>
            <w:shd w:fill="FFFFFF" w:val="clear"/>
            <w:tcMar>
              <w:bottom w:w="0" w:type="dxa"/>
            </w:tcMar>
            <w:vAlign w:val="center"/>
          </w:tcPr>
          <w:p>
            <w:pPr>
              <w:pStyle w:val="TableContents"/>
              <w:bidi w:val="0"/>
              <w:spacing w:before="0" w:after="283"/>
              <w:jc w:val="left"/>
              <w:rPr/>
            </w:pPr>
            <w:r>
              <w:rPr/>
              <w:t> </w:t>
            </w:r>
          </w:p>
        </w:tc>
        <w:tc>
          <w:tcPr>
            <w:tcW w:w="1692" w:type="dxa"/>
            <w:tcBorders/>
            <w:shd w:fill="FFFFFF" w:val="clear"/>
            <w:tcMar>
              <w:bottom w:w="0" w:type="dxa"/>
            </w:tcMar>
            <w:vAlign w:val="center"/>
          </w:tcPr>
          <w:p>
            <w:pPr>
              <w:pStyle w:val="TableContents"/>
              <w:bidi w:val="0"/>
              <w:spacing w:before="0" w:after="283"/>
              <w:jc w:val="right"/>
              <w:rPr/>
            </w:pPr>
            <w:r>
              <w:rPr/>
              <w:t> </w:t>
            </w:r>
          </w:p>
        </w:tc>
        <w:tc>
          <w:tcPr>
            <w:tcW w:w="78" w:type="dxa"/>
            <w:tcBorders/>
            <w:shd w:fill="FFFFFF" w:val="clear"/>
            <w:tcMar>
              <w:bottom w:w="0" w:type="dxa"/>
            </w:tcMar>
            <w:vAlign w:val="center"/>
          </w:tcPr>
          <w:p>
            <w:pPr>
              <w:pStyle w:val="TableContents"/>
              <w:bidi w:val="0"/>
              <w:spacing w:before="0" w:after="283"/>
              <w:jc w:val="left"/>
              <w:rPr/>
            </w:pPr>
            <w:r>
              <w:rPr/>
              <w:t> </w:t>
            </w:r>
          </w:p>
        </w:tc>
      </w:tr>
      <w:tr>
        <w:trPr/>
        <w:tc>
          <w:tcPr>
            <w:tcW w:w="6788" w:type="dxa"/>
            <w:tcBorders/>
            <w:shd w:fill="CCEEFF" w:val="clear"/>
            <w:tcMar>
              <w:bottom w:w="0" w:type="dxa"/>
            </w:tcMar>
            <w:vAlign w:val="center"/>
          </w:tcPr>
          <w:p>
            <w:pPr>
              <w:pStyle w:val="TableContents"/>
              <w:bidi w:val="0"/>
              <w:spacing w:before="0" w:after="283"/>
              <w:jc w:val="left"/>
              <w:rPr/>
            </w:pPr>
            <w:r>
              <w:rPr/>
              <w:t>Exchange Ratio</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34" w:type="dxa"/>
            <w:tcBorders/>
            <w:shd w:fill="CCEEFF" w:val="clear"/>
            <w:tcMar>
              <w:bottom w:w="0" w:type="dxa"/>
            </w:tcMar>
            <w:vAlign w:val="center"/>
          </w:tcPr>
          <w:p>
            <w:pPr>
              <w:pStyle w:val="TableContents"/>
              <w:bidi w:val="0"/>
              <w:spacing w:before="0" w:after="283"/>
              <w:jc w:val="center"/>
              <w:rPr>
                <w:b/>
              </w:rPr>
            </w:pPr>
            <w:r>
              <w:rPr>
                <w:b/>
              </w:rPr>
              <w:t>[B]</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3" w:type="dxa"/>
            <w:tcBorders/>
            <w:shd w:fill="CCEEFF" w:val="clear"/>
            <w:tcMar>
              <w:bottom w:w="0" w:type="dxa"/>
            </w:tcMar>
            <w:vAlign w:val="center"/>
          </w:tcPr>
          <w:p>
            <w:pPr>
              <w:pStyle w:val="TableContents"/>
              <w:bidi w:val="0"/>
              <w:spacing w:before="0" w:after="283"/>
              <w:jc w:val="left"/>
              <w:rPr/>
            </w:pPr>
            <w:r>
              <w:rPr/>
              <w:t> </w:t>
            </w:r>
          </w:p>
        </w:tc>
        <w:tc>
          <w:tcPr>
            <w:tcW w:w="1692" w:type="dxa"/>
            <w:tcBorders/>
            <w:shd w:fill="CCEEFF" w:val="clear"/>
            <w:tcMar>
              <w:bottom w:w="0" w:type="dxa"/>
            </w:tcMar>
            <w:vAlign w:val="center"/>
          </w:tcPr>
          <w:p>
            <w:pPr>
              <w:pStyle w:val="TableContents"/>
              <w:bidi w:val="0"/>
              <w:spacing w:before="0" w:after="283"/>
              <w:jc w:val="right"/>
              <w:rPr/>
            </w:pPr>
            <w:r>
              <w:rPr/>
              <w:t>0.3894</w:t>
            </w:r>
          </w:p>
        </w:tc>
        <w:tc>
          <w:tcPr>
            <w:tcW w:w="78" w:type="dxa"/>
            <w:tcBorders/>
            <w:shd w:fill="CCEEFF" w:val="clear"/>
            <w:tcMar>
              <w:bottom w:w="0" w:type="dxa"/>
            </w:tcMar>
            <w:vAlign w:val="center"/>
          </w:tcPr>
          <w:p>
            <w:pPr>
              <w:pStyle w:val="TableContents"/>
              <w:bidi w:val="0"/>
              <w:spacing w:before="0" w:after="283"/>
              <w:jc w:val="left"/>
              <w:rPr/>
            </w:pPr>
            <w:r>
              <w:rPr/>
              <w:t> </w:t>
            </w:r>
          </w:p>
        </w:tc>
      </w:tr>
      <w:tr>
        <w:trPr/>
        <w:tc>
          <w:tcPr>
            <w:tcW w:w="6788" w:type="dxa"/>
            <w:tcBorders/>
            <w:shd w:fill="FFFFFF" w:val="clear"/>
            <w:tcMar>
              <w:bottom w:w="0" w:type="dxa"/>
            </w:tcMar>
            <w:vAlign w:val="center"/>
          </w:tcPr>
          <w:p>
            <w:pPr>
              <w:pStyle w:val="TableContents"/>
              <w:bidi w:val="0"/>
              <w:spacing w:before="0" w:after="283"/>
              <w:jc w:val="left"/>
              <w:rPr/>
            </w:pPr>
            <w:r>
              <w:rPr/>
              <w:t>Estimated shares of Rocket Lab Common Stock issuable to Iridium stockholders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34" w:type="dxa"/>
            <w:tcBorders/>
            <w:shd w:fill="FFFFFF" w:val="clear"/>
            <w:tcMar>
              <w:bottom w:w="0" w:type="dxa"/>
            </w:tcMar>
            <w:vAlign w:val="center"/>
          </w:tcPr>
          <w:p>
            <w:pPr>
              <w:pStyle w:val="TableContents"/>
              <w:bidi w:val="0"/>
              <w:spacing w:before="0" w:after="283"/>
              <w:jc w:val="center"/>
              <w:rPr>
                <w:b/>
              </w:rPr>
            </w:pPr>
            <w:r>
              <w:rPr>
                <w:b/>
              </w:rPr>
              <w:t>[A] * [B] = [C]</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3" w:type="dxa"/>
            <w:tcBorders/>
            <w:shd w:fill="FFFFFF" w:val="clear"/>
            <w:tcMar>
              <w:bottom w:w="0" w:type="dxa"/>
            </w:tcMar>
            <w:vAlign w:val="center"/>
          </w:tcPr>
          <w:p>
            <w:pPr>
              <w:pStyle w:val="TableContents"/>
              <w:bidi w:val="0"/>
              <w:spacing w:before="0" w:after="283"/>
              <w:jc w:val="left"/>
              <w:rPr/>
            </w:pPr>
            <w:r>
              <w:rPr/>
              <w:t> </w:t>
            </w:r>
          </w:p>
        </w:tc>
        <w:tc>
          <w:tcPr>
            <w:tcW w:w="1692" w:type="dxa"/>
            <w:tcBorders/>
            <w:shd w:fill="FFFFFF" w:val="clear"/>
            <w:tcMar>
              <w:bottom w:w="0" w:type="dxa"/>
            </w:tcMar>
            <w:vAlign w:val="center"/>
          </w:tcPr>
          <w:p>
            <w:pPr>
              <w:pStyle w:val="TableContents"/>
              <w:bidi w:val="0"/>
              <w:spacing w:before="0" w:after="283"/>
              <w:jc w:val="right"/>
              <w:rPr/>
            </w:pPr>
            <w:r>
              <w:rPr/>
              <w:t>41,259,372</w:t>
            </w:r>
          </w:p>
        </w:tc>
        <w:tc>
          <w:tcPr>
            <w:tcW w:w="78" w:type="dxa"/>
            <w:tcBorders/>
            <w:shd w:fill="FFFFFF" w:val="clear"/>
            <w:tcMar>
              <w:bottom w:w="0" w:type="dxa"/>
            </w:tcMar>
            <w:vAlign w:val="center"/>
          </w:tcPr>
          <w:p>
            <w:pPr>
              <w:pStyle w:val="TableContents"/>
              <w:bidi w:val="0"/>
              <w:spacing w:before="0" w:after="283"/>
              <w:jc w:val="left"/>
              <w:rPr/>
            </w:pPr>
            <w:r>
              <w:rPr/>
              <w:t> </w:t>
            </w:r>
          </w:p>
        </w:tc>
      </w:tr>
      <w:tr>
        <w:trPr/>
        <w:tc>
          <w:tcPr>
            <w:tcW w:w="6788" w:type="dxa"/>
            <w:tcBorders/>
            <w:shd w:fill="CCEEFF" w:val="clear"/>
            <w:tcMar>
              <w:bottom w:w="0" w:type="dxa"/>
            </w:tcMar>
            <w:vAlign w:val="center"/>
          </w:tcPr>
          <w:p>
            <w:pPr>
              <w:pStyle w:val="TableContents"/>
              <w:bidi w:val="0"/>
              <w:spacing w:before="0" w:after="0"/>
              <w:ind w:left="0" w:right="0" w:hanging="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Multiplied by 10-day VWAP per share of Rocket Lab Common Stock ending August 7, 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34" w:type="dxa"/>
            <w:tcBorders/>
            <w:shd w:fill="CCEEFF" w:val="clear"/>
            <w:tcMar>
              <w:bottom w:w="0" w:type="dxa"/>
            </w:tcMar>
            <w:vAlign w:val="center"/>
          </w:tcPr>
          <w:p>
            <w:pPr>
              <w:pStyle w:val="TableContents"/>
              <w:bidi w:val="0"/>
              <w:spacing w:before="0" w:after="283"/>
              <w:jc w:val="center"/>
              <w:rPr/>
            </w:pPr>
            <w:r>
              <w:rPr/>
              <w:t> </w:t>
            </w:r>
            <w:r>
              <w:rPr>
                <w:b/>
              </w:rPr>
              <w: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3" w:type="dxa"/>
            <w:tcBorders>
              <w:bottom w:val="single" w:sz="8" w:space="0" w:color="000000"/>
            </w:tcBorders>
            <w:shd w:fill="CCEEFF" w:val="clear"/>
            <w:vAlign w:val="center"/>
          </w:tcPr>
          <w:p>
            <w:pPr>
              <w:pStyle w:val="TableContents"/>
              <w:bidi w:val="0"/>
              <w:spacing w:before="0" w:after="283"/>
              <w:jc w:val="left"/>
              <w:rPr/>
            </w:pPr>
            <w:r>
              <w:rPr/>
              <w:t>$</w:t>
            </w:r>
          </w:p>
        </w:tc>
        <w:tc>
          <w:tcPr>
            <w:tcW w:w="1692" w:type="dxa"/>
            <w:tcBorders>
              <w:bottom w:val="single" w:sz="8" w:space="0" w:color="000000"/>
            </w:tcBorders>
            <w:shd w:fill="CCEEFF" w:val="clear"/>
            <w:vAlign w:val="center"/>
          </w:tcPr>
          <w:p>
            <w:pPr>
              <w:pStyle w:val="TableContents"/>
              <w:bidi w:val="0"/>
              <w:spacing w:before="0" w:after="283"/>
              <w:jc w:val="right"/>
              <w:rPr/>
            </w:pPr>
            <w:r>
              <w:rPr/>
              <w:t>69.33</w:t>
            </w:r>
          </w:p>
        </w:tc>
        <w:tc>
          <w:tcPr>
            <w:tcW w:w="78"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12</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8564" w:type="dxa"/>
        <w:jc w:val="left"/>
        <w:tblInd w:w="0" w:type="dxa"/>
        <w:tblLayout w:type="fixed"/>
        <w:tblCellMar>
          <w:top w:w="0" w:type="dxa"/>
          <w:left w:w="0" w:type="dxa"/>
          <w:bottom w:w="28" w:type="dxa"/>
          <w:right w:w="0" w:type="dxa"/>
        </w:tblCellMar>
      </w:tblPr>
      <w:tblGrid>
        <w:gridCol w:w="4460"/>
        <w:gridCol w:w="60"/>
        <w:gridCol w:w="1940"/>
        <w:gridCol w:w="60"/>
        <w:gridCol w:w="246"/>
        <w:gridCol w:w="1723"/>
        <w:gridCol w:w="75"/>
      </w:tblGrid>
      <w:tr>
        <w:trPr/>
        <w:tc>
          <w:tcPr>
            <w:tcW w:w="4460" w:type="dxa"/>
            <w:tcBorders>
              <w:bottom w:val="single" w:sz="8" w:space="0" w:color="000000"/>
            </w:tcBorders>
            <w:vAlign w:val="center"/>
          </w:tcPr>
          <w:p>
            <w:pPr>
              <w:pStyle w:val="TableContents"/>
              <w:bidi w:val="0"/>
              <w:spacing w:before="0" w:after="283"/>
              <w:jc w:val="both"/>
              <w:rPr>
                <w:sz w:val="18"/>
              </w:rPr>
            </w:pPr>
            <w:r>
              <w:rPr>
                <w:sz w:val="18"/>
              </w:rPr>
              <w:t>(in thousands, except price per share).</w:t>
            </w:r>
          </w:p>
        </w:tc>
        <w:tc>
          <w:tcPr>
            <w:tcW w:w="60" w:type="dxa"/>
            <w:tcBorders/>
            <w:tcMar>
              <w:bottom w:w="0" w:type="dxa"/>
            </w:tcMar>
            <w:vAlign w:val="center"/>
          </w:tcPr>
          <w:p>
            <w:pPr>
              <w:pStyle w:val="TableContents"/>
              <w:bidi w:val="0"/>
              <w:spacing w:before="0" w:after="283"/>
              <w:jc w:val="left"/>
              <w:rPr/>
            </w:pPr>
            <w:r>
              <w:rPr/>
              <w:t> </w:t>
            </w:r>
          </w:p>
        </w:tc>
        <w:tc>
          <w:tcPr>
            <w:tcW w:w="194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969" w:type="dxa"/>
            <w:gridSpan w:val="2"/>
            <w:tcBorders>
              <w:bottom w:val="single" w:sz="8" w:space="0" w:color="000000"/>
            </w:tcBorders>
            <w:vAlign w:val="center"/>
          </w:tcPr>
          <w:p>
            <w:pPr>
              <w:pStyle w:val="TableContents"/>
              <w:bidi w:val="0"/>
              <w:spacing w:before="0" w:after="283"/>
              <w:jc w:val="center"/>
              <w:rPr>
                <w:b/>
                <w:sz w:val="18"/>
              </w:rPr>
            </w:pPr>
            <w:r>
              <w:rPr>
                <w:b/>
                <w:sz w:val="18"/>
              </w:rPr>
              <w:t>Estimated Purchase Price</w:t>
            </w:r>
          </w:p>
        </w:tc>
        <w:tc>
          <w:tcPr>
            <w:tcW w:w="75" w:type="dxa"/>
            <w:tcBorders/>
            <w:tcMar>
              <w:bottom w:w="0" w:type="dxa"/>
            </w:tcMar>
            <w:vAlign w:val="center"/>
          </w:tcPr>
          <w:p>
            <w:pPr>
              <w:pStyle w:val="TableContents"/>
              <w:bidi w:val="0"/>
              <w:spacing w:before="0" w:after="283"/>
              <w:jc w:val="left"/>
              <w:rPr/>
            </w:pPr>
            <w:r>
              <w:rPr/>
              <w:t> </w:t>
            </w:r>
          </w:p>
        </w:tc>
      </w:tr>
      <w:tr>
        <w:trPr/>
        <w:tc>
          <w:tcPr>
            <w:tcW w:w="4460" w:type="dxa"/>
            <w:tcBorders/>
            <w:shd w:fill="FFFFFF" w:val="clear"/>
            <w:tcMar>
              <w:bottom w:w="0" w:type="dxa"/>
            </w:tcMar>
            <w:vAlign w:val="center"/>
          </w:tcPr>
          <w:p>
            <w:pPr>
              <w:pStyle w:val="TableContents"/>
              <w:bidi w:val="0"/>
              <w:spacing w:before="0" w:after="283"/>
              <w:jc w:val="left"/>
              <w:rPr>
                <w:b/>
              </w:rPr>
            </w:pPr>
            <w:r>
              <w:rPr>
                <w:b/>
              </w:rPr>
              <w:t>Estimated fair value of Stock Consideration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40" w:type="dxa"/>
            <w:tcBorders/>
            <w:shd w:fill="FFFFFF" w:val="clear"/>
            <w:tcMar>
              <w:bottom w:w="0" w:type="dxa"/>
            </w:tcMar>
            <w:vAlign w:val="center"/>
          </w:tcPr>
          <w:p>
            <w:pPr>
              <w:pStyle w:val="TableContents"/>
              <w:bidi w:val="0"/>
              <w:spacing w:before="0" w:after="283"/>
              <w:jc w:val="center"/>
              <w:rPr/>
            </w:pPr>
            <w:r>
              <w:rPr/>
              <w:t> </w:t>
            </w:r>
            <w:r>
              <w:rPr>
                <w:b/>
              </w:rPr>
              <w:t>[C] * [D] = [E]</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6" w:type="dxa"/>
            <w:tcBorders>
              <w:bottom w:val="single" w:sz="8" w:space="0" w:color="000000"/>
            </w:tcBorders>
            <w:shd w:fill="FFFFFF" w:val="clear"/>
            <w:vAlign w:val="center"/>
          </w:tcPr>
          <w:p>
            <w:pPr>
              <w:pStyle w:val="TableContents"/>
              <w:bidi w:val="0"/>
              <w:spacing w:before="0" w:after="283"/>
              <w:jc w:val="left"/>
              <w:rPr/>
            </w:pPr>
            <w:r>
              <w:rPr/>
              <w:t> </w:t>
            </w:r>
          </w:p>
        </w:tc>
        <w:tc>
          <w:tcPr>
            <w:tcW w:w="1723" w:type="dxa"/>
            <w:tcBorders>
              <w:bottom w:val="single" w:sz="8" w:space="0" w:color="000000"/>
            </w:tcBorders>
            <w:shd w:fill="FFFFFF" w:val="clear"/>
            <w:vAlign w:val="center"/>
          </w:tcPr>
          <w:p>
            <w:pPr>
              <w:pStyle w:val="TableContents"/>
              <w:bidi w:val="0"/>
              <w:spacing w:before="0" w:after="283"/>
              <w:jc w:val="right"/>
              <w:rPr/>
            </w:pPr>
            <w:r>
              <w:rPr/>
              <w:t>2,860,533</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4460" w:type="dxa"/>
            <w:tcBorders/>
            <w:shd w:fill="CCEEFF" w:val="clear"/>
            <w:tcMar>
              <w:bottom w:w="0" w:type="dxa"/>
            </w:tcMar>
            <w:vAlign w:val="center"/>
          </w:tcPr>
          <w:p>
            <w:pPr>
              <w:pStyle w:val="TableContents"/>
              <w:bidi w:val="0"/>
              <w:spacing w:before="0" w:after="283"/>
              <w:jc w:val="left"/>
              <w:rPr>
                <w:b/>
              </w:rPr>
            </w:pPr>
            <w:r>
              <w:rPr>
                <w:b/>
              </w:rPr>
              <w:t>Total Cash Consideration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4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6" w:type="dxa"/>
            <w:tcBorders/>
            <w:shd w:fill="CCEEFF" w:val="clear"/>
            <w:tcMar>
              <w:bottom w:w="0" w:type="dxa"/>
            </w:tcMar>
            <w:vAlign w:val="center"/>
          </w:tcPr>
          <w:p>
            <w:pPr>
              <w:pStyle w:val="TableContents"/>
              <w:bidi w:val="0"/>
              <w:spacing w:before="0" w:after="283"/>
              <w:jc w:val="left"/>
              <w:rPr/>
            </w:pPr>
            <w:r>
              <w:rPr/>
              <w:t> </w:t>
            </w:r>
          </w:p>
        </w:tc>
        <w:tc>
          <w:tcPr>
            <w:tcW w:w="1723" w:type="dxa"/>
            <w:tcBorders/>
            <w:shd w:fill="CCEEFF" w:val="clear"/>
            <w:tcMar>
              <w:bottom w:w="0" w:type="dxa"/>
            </w:tcM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4460" w:type="dxa"/>
            <w:tcBorders/>
            <w:shd w:fill="FFFFFF" w:val="clear"/>
            <w:tcMar>
              <w:bottom w:w="0" w:type="dxa"/>
            </w:tcMar>
            <w:vAlign w:val="center"/>
          </w:tcPr>
          <w:p>
            <w:pPr>
              <w:pStyle w:val="TableContents"/>
              <w:bidi w:val="0"/>
              <w:spacing w:before="0" w:after="283"/>
              <w:jc w:val="left"/>
              <w:rPr/>
            </w:pPr>
            <w:r>
              <w:rPr/>
              <w:t>Cash Consideration per share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40" w:type="dxa"/>
            <w:tcBorders/>
            <w:shd w:fill="FFFFFF" w:val="clear"/>
            <w:tcMar>
              <w:bottom w:w="0" w:type="dxa"/>
            </w:tcMar>
            <w:vAlign w:val="center"/>
          </w:tcPr>
          <w:p>
            <w:pPr>
              <w:pStyle w:val="TableContents"/>
              <w:bidi w:val="0"/>
              <w:spacing w:before="0" w:after="283"/>
              <w:jc w:val="center"/>
              <w:rPr/>
            </w:pPr>
            <w:r>
              <w:rPr/>
              <w:t> </w:t>
            </w:r>
            <w:r>
              <w:rPr>
                <w:b/>
              </w:rPr>
              <w:t>[F]</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6" w:type="dxa"/>
            <w:tcBorders>
              <w:bottom w:val="single" w:sz="8" w:space="0" w:color="000000"/>
            </w:tcBorders>
            <w:shd w:fill="FFFFFF" w:val="clear"/>
            <w:vAlign w:val="center"/>
          </w:tcPr>
          <w:p>
            <w:pPr>
              <w:pStyle w:val="TableContents"/>
              <w:bidi w:val="0"/>
              <w:spacing w:before="0" w:after="283"/>
              <w:jc w:val="left"/>
              <w:rPr/>
            </w:pPr>
            <w:r>
              <w:rPr/>
              <w:t>$</w:t>
            </w:r>
          </w:p>
        </w:tc>
        <w:tc>
          <w:tcPr>
            <w:tcW w:w="1723" w:type="dxa"/>
            <w:tcBorders>
              <w:bottom w:val="single" w:sz="8" w:space="0" w:color="000000"/>
            </w:tcBorders>
            <w:shd w:fill="FFFFFF" w:val="clear"/>
            <w:vAlign w:val="center"/>
          </w:tcPr>
          <w:p>
            <w:pPr>
              <w:pStyle w:val="TableContents"/>
              <w:bidi w:val="0"/>
              <w:spacing w:before="0" w:after="283"/>
              <w:jc w:val="right"/>
              <w:rPr/>
            </w:pPr>
            <w:r>
              <w:rPr/>
              <w:t>27</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4460" w:type="dxa"/>
            <w:tcBorders/>
            <w:shd w:fill="CCEEFF" w:val="clear"/>
            <w:tcMar>
              <w:bottom w:w="0" w:type="dxa"/>
            </w:tcMar>
            <w:vAlign w:val="center"/>
          </w:tcPr>
          <w:p>
            <w:pPr>
              <w:pStyle w:val="TableContents"/>
              <w:bidi w:val="0"/>
              <w:spacing w:before="0" w:after="283"/>
              <w:jc w:val="left"/>
              <w:rPr>
                <w:b/>
              </w:rPr>
            </w:pPr>
            <w:r>
              <w:rPr>
                <w:b/>
              </w:rPr>
              <w:t>Total Cash Consideration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40" w:type="dxa"/>
            <w:tcBorders/>
            <w:shd w:fill="CCEEFF" w:val="clear"/>
            <w:tcMar>
              <w:bottom w:w="0" w:type="dxa"/>
            </w:tcMar>
            <w:vAlign w:val="center"/>
          </w:tcPr>
          <w:p>
            <w:pPr>
              <w:pStyle w:val="TableContents"/>
              <w:bidi w:val="0"/>
              <w:spacing w:before="0" w:after="283"/>
              <w:jc w:val="center"/>
              <w:rPr/>
            </w:pPr>
            <w:r>
              <w:rPr/>
              <w:t> </w:t>
            </w:r>
            <w:r>
              <w:rPr>
                <w:b/>
              </w:rPr>
              <w:t>[A] * [F] = [G]</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6" w:type="dxa"/>
            <w:tcBorders>
              <w:bottom w:val="single" w:sz="8" w:space="0" w:color="000000"/>
            </w:tcBorders>
            <w:shd w:fill="CCEEFF" w:val="clear"/>
            <w:vAlign w:val="center"/>
          </w:tcPr>
          <w:p>
            <w:pPr>
              <w:pStyle w:val="TableContents"/>
              <w:bidi w:val="0"/>
              <w:spacing w:before="0" w:after="283"/>
              <w:jc w:val="left"/>
              <w:rPr/>
            </w:pPr>
            <w:r>
              <w:rPr/>
              <w:t> </w:t>
            </w:r>
          </w:p>
        </w:tc>
        <w:tc>
          <w:tcPr>
            <w:tcW w:w="1723" w:type="dxa"/>
            <w:tcBorders>
              <w:bottom w:val="single" w:sz="8" w:space="0" w:color="000000"/>
            </w:tcBorders>
            <w:shd w:fill="CCEEFF" w:val="clear"/>
            <w:vAlign w:val="center"/>
          </w:tcPr>
          <w:p>
            <w:pPr>
              <w:pStyle w:val="TableContents"/>
              <w:bidi w:val="0"/>
              <w:spacing w:before="0" w:after="283"/>
              <w:jc w:val="right"/>
              <w:rPr/>
            </w:pPr>
            <w:r>
              <w:rPr/>
              <w:t>2,860,819</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4460" w:type="dxa"/>
            <w:tcBorders/>
            <w:shd w:fill="FFFFFF" w:val="clear"/>
            <w:tcMar>
              <w:bottom w:w="0" w:type="dxa"/>
            </w:tcMar>
            <w:vAlign w:val="center"/>
          </w:tcPr>
          <w:p>
            <w:pPr>
              <w:pStyle w:val="TableContents"/>
              <w:bidi w:val="0"/>
              <w:spacing w:before="0" w:after="283"/>
              <w:jc w:val="left"/>
              <w:rPr>
                <w:b/>
              </w:rPr>
            </w:pPr>
            <w:r>
              <w:rPr>
                <w:b/>
              </w:rPr>
              <w:t>Acquisition date fair value attributable to:</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4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6" w:type="dxa"/>
            <w:tcBorders/>
            <w:shd w:fill="FFFFFF" w:val="clear"/>
            <w:tcMar>
              <w:bottom w:w="0" w:type="dxa"/>
            </w:tcMar>
            <w:vAlign w:val="center"/>
          </w:tcPr>
          <w:p>
            <w:pPr>
              <w:pStyle w:val="TableContents"/>
              <w:bidi w:val="0"/>
              <w:spacing w:before="0" w:after="283"/>
              <w:jc w:val="left"/>
              <w:rPr/>
            </w:pPr>
            <w:r>
              <w:rPr/>
              <w:t> </w:t>
            </w:r>
          </w:p>
        </w:tc>
        <w:tc>
          <w:tcPr>
            <w:tcW w:w="1723"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4460" w:type="dxa"/>
            <w:tcBorders/>
            <w:shd w:fill="CCEEFF" w:val="clear"/>
            <w:tcMar>
              <w:bottom w:w="0" w:type="dxa"/>
            </w:tcMar>
            <w:vAlign w:val="center"/>
          </w:tcPr>
          <w:p>
            <w:pPr>
              <w:pStyle w:val="TableContents"/>
              <w:bidi w:val="0"/>
              <w:spacing w:before="0" w:after="283"/>
              <w:jc w:val="left"/>
              <w:rPr/>
            </w:pPr>
            <w:r>
              <w:rPr/>
              <w:t>Iridium RSU Awards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4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6" w:type="dxa"/>
            <w:tcBorders/>
            <w:shd w:fill="CCEEFF" w:val="clear"/>
            <w:tcMar>
              <w:bottom w:w="0" w:type="dxa"/>
            </w:tcMar>
            <w:vAlign w:val="center"/>
          </w:tcPr>
          <w:p>
            <w:pPr>
              <w:pStyle w:val="TableContents"/>
              <w:bidi w:val="0"/>
              <w:spacing w:before="0" w:after="283"/>
              <w:jc w:val="left"/>
              <w:rPr/>
            </w:pPr>
            <w:r>
              <w:rPr/>
              <w:t>$</w:t>
            </w:r>
          </w:p>
        </w:tc>
        <w:tc>
          <w:tcPr>
            <w:tcW w:w="1723" w:type="dxa"/>
            <w:tcBorders/>
            <w:shd w:fill="CCEEFF" w:val="clear"/>
            <w:tcMar>
              <w:bottom w:w="0" w:type="dxa"/>
            </w:tcMar>
            <w:vAlign w:val="center"/>
          </w:tcPr>
          <w:p>
            <w:pPr>
              <w:pStyle w:val="TableContents"/>
              <w:bidi w:val="0"/>
              <w:spacing w:before="0" w:after="283"/>
              <w:jc w:val="right"/>
              <w:rPr/>
            </w:pPr>
            <w:r>
              <w:rPr/>
              <w:t>80,682</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4460" w:type="dxa"/>
            <w:tcBorders/>
            <w:shd w:fill="FFFFFF" w:val="clear"/>
            <w:tcMar>
              <w:bottom w:w="0" w:type="dxa"/>
            </w:tcMar>
            <w:vAlign w:val="center"/>
          </w:tcPr>
          <w:p>
            <w:pPr>
              <w:pStyle w:val="TableContents"/>
              <w:bidi w:val="0"/>
              <w:spacing w:before="0" w:after="283"/>
              <w:jc w:val="left"/>
              <w:rPr/>
            </w:pPr>
            <w:r>
              <w:rPr/>
              <w:t>Iridium CSAR Awards¹</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4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6" w:type="dxa"/>
            <w:tcBorders/>
            <w:shd w:fill="FFFFFF" w:val="clear"/>
            <w:tcMar>
              <w:bottom w:w="0" w:type="dxa"/>
            </w:tcMar>
            <w:vAlign w:val="center"/>
          </w:tcPr>
          <w:p>
            <w:pPr>
              <w:pStyle w:val="TableContents"/>
              <w:bidi w:val="0"/>
              <w:spacing w:before="0" w:after="283"/>
              <w:jc w:val="left"/>
              <w:rPr/>
            </w:pPr>
            <w:r>
              <w:rPr/>
              <w:t> </w:t>
            </w:r>
          </w:p>
        </w:tc>
        <w:tc>
          <w:tcPr>
            <w:tcW w:w="1723" w:type="dxa"/>
            <w:tcBorders/>
            <w:shd w:fill="FFFFFF" w:val="clear"/>
            <w:tcMar>
              <w:bottom w:w="0" w:type="dxa"/>
            </w:tcMar>
            <w:vAlign w:val="center"/>
          </w:tcPr>
          <w:p>
            <w:pPr>
              <w:pStyle w:val="TableContents"/>
              <w:bidi w:val="0"/>
              <w:spacing w:before="0" w:after="283"/>
              <w:jc w:val="right"/>
              <w:rPr/>
            </w:pPr>
            <w:r>
              <w:rPr/>
              <w:t>5,443</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4460" w:type="dxa"/>
            <w:tcBorders/>
            <w:shd w:fill="CCEEFF" w:val="clear"/>
            <w:tcMar>
              <w:bottom w:w="0" w:type="dxa"/>
            </w:tcMar>
            <w:vAlign w:val="center"/>
          </w:tcPr>
          <w:p>
            <w:pPr>
              <w:pStyle w:val="TableContents"/>
              <w:bidi w:val="0"/>
              <w:spacing w:before="0" w:after="283"/>
              <w:jc w:val="left"/>
              <w:rPr/>
            </w:pPr>
            <w:r>
              <w:rPr/>
              <w:t>Iridium Option Awards ²</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4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6" w:type="dxa"/>
            <w:tcBorders>
              <w:bottom w:val="single" w:sz="8" w:space="0" w:color="000000"/>
            </w:tcBorders>
            <w:shd w:fill="CCEEFF" w:val="clear"/>
            <w:vAlign w:val="center"/>
          </w:tcPr>
          <w:p>
            <w:pPr>
              <w:pStyle w:val="TableContents"/>
              <w:bidi w:val="0"/>
              <w:spacing w:before="0" w:after="283"/>
              <w:jc w:val="left"/>
              <w:rPr/>
            </w:pPr>
            <w:r>
              <w:rPr/>
              <w:t> </w:t>
            </w:r>
          </w:p>
        </w:tc>
        <w:tc>
          <w:tcPr>
            <w:tcW w:w="1723" w:type="dxa"/>
            <w:tcBorders>
              <w:bottom w:val="single" w:sz="8" w:space="0" w:color="000000"/>
            </w:tcBorders>
            <w:shd w:fill="CCEEFF" w:val="clear"/>
            <w:vAlign w:val="center"/>
          </w:tcPr>
          <w:p>
            <w:pPr>
              <w:pStyle w:val="TableContents"/>
              <w:bidi w:val="0"/>
              <w:spacing w:before="0" w:after="283"/>
              <w:jc w:val="right"/>
              <w:rPr/>
            </w:pPr>
            <w:r>
              <w:rPr/>
              <w:t>7,674</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4460" w:type="dxa"/>
            <w:tcBorders/>
            <w:shd w:fill="FFFFFF" w:val="clear"/>
            <w:tcMar>
              <w:bottom w:w="0" w:type="dxa"/>
            </w:tcMar>
            <w:vAlign w:val="center"/>
          </w:tcPr>
          <w:p>
            <w:pPr>
              <w:pStyle w:val="TableContents"/>
              <w:bidi w:val="0"/>
              <w:spacing w:before="0" w:after="283"/>
              <w:jc w:val="left"/>
              <w:rPr>
                <w:b/>
              </w:rPr>
            </w:pPr>
            <w:r>
              <w:rPr>
                <w:b/>
              </w:rPr>
              <w:t>Total fair value from stock awards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40" w:type="dxa"/>
            <w:tcBorders/>
            <w:shd w:fill="FFFFFF" w:val="clear"/>
            <w:tcMar>
              <w:bottom w:w="0" w:type="dxa"/>
            </w:tcMar>
            <w:vAlign w:val="center"/>
          </w:tcPr>
          <w:p>
            <w:pPr>
              <w:pStyle w:val="TableContents"/>
              <w:bidi w:val="0"/>
              <w:spacing w:before="0" w:after="283"/>
              <w:jc w:val="center"/>
              <w:rPr>
                <w:b/>
              </w:rPr>
            </w:pPr>
            <w:r>
              <w:rPr>
                <w:b/>
              </w:rPr>
              <w:t>[H]</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6" w:type="dxa"/>
            <w:tcBorders/>
            <w:shd w:fill="FFFFFF" w:val="clear"/>
            <w:tcMar>
              <w:bottom w:w="0" w:type="dxa"/>
            </w:tcMar>
            <w:vAlign w:val="center"/>
          </w:tcPr>
          <w:p>
            <w:pPr>
              <w:pStyle w:val="TableContents"/>
              <w:bidi w:val="0"/>
              <w:spacing w:before="0" w:after="283"/>
              <w:jc w:val="left"/>
              <w:rPr/>
            </w:pPr>
            <w:r>
              <w:rPr/>
              <w:t> </w:t>
            </w:r>
          </w:p>
        </w:tc>
        <w:tc>
          <w:tcPr>
            <w:tcW w:w="1723" w:type="dxa"/>
            <w:tcBorders/>
            <w:shd w:fill="FFFFFF" w:val="clear"/>
            <w:tcMar>
              <w:bottom w:w="0" w:type="dxa"/>
            </w:tcMar>
            <w:vAlign w:val="center"/>
          </w:tcPr>
          <w:p>
            <w:pPr>
              <w:pStyle w:val="TableContents"/>
              <w:bidi w:val="0"/>
              <w:spacing w:before="0" w:after="283"/>
              <w:jc w:val="right"/>
              <w:rPr/>
            </w:pPr>
            <w:r>
              <w:rPr/>
              <w:t>93,799</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4460" w:type="dxa"/>
            <w:tcBorders/>
            <w:shd w:fill="CCEEFF" w:val="clear"/>
            <w:tcMar>
              <w:bottom w:w="0" w:type="dxa"/>
            </w:tcMar>
            <w:vAlign w:val="center"/>
          </w:tcPr>
          <w:p>
            <w:pPr>
              <w:pStyle w:val="TableContents"/>
              <w:bidi w:val="0"/>
              <w:spacing w:before="0" w:after="283"/>
              <w:jc w:val="left"/>
              <w:rPr/>
            </w:pPr>
            <w:r>
              <w:rPr/>
              <w:t>Pay-off of Iridium’s existing debt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40" w:type="dxa"/>
            <w:tcBorders/>
            <w:shd w:fill="CCEEFF" w:val="clear"/>
            <w:tcMar>
              <w:bottom w:w="0" w:type="dxa"/>
            </w:tcMar>
            <w:vAlign w:val="center"/>
          </w:tcPr>
          <w:p>
            <w:pPr>
              <w:pStyle w:val="TableContents"/>
              <w:bidi w:val="0"/>
              <w:spacing w:before="0" w:after="283"/>
              <w:jc w:val="center"/>
              <w:rPr>
                <w:b/>
              </w:rPr>
            </w:pPr>
            <w:r>
              <w:rPr>
                <w:b/>
              </w:rPr>
              <w:t>[I]</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6" w:type="dxa"/>
            <w:tcBorders>
              <w:bottom w:val="single" w:sz="8" w:space="0" w:color="000000"/>
            </w:tcBorders>
            <w:shd w:fill="CCEEFF" w:val="clear"/>
            <w:vAlign w:val="center"/>
          </w:tcPr>
          <w:p>
            <w:pPr>
              <w:pStyle w:val="TableContents"/>
              <w:bidi w:val="0"/>
              <w:spacing w:before="0" w:after="283"/>
              <w:jc w:val="left"/>
              <w:rPr/>
            </w:pPr>
            <w:r>
              <w:rPr/>
              <w:t> </w:t>
            </w:r>
          </w:p>
        </w:tc>
        <w:tc>
          <w:tcPr>
            <w:tcW w:w="1723" w:type="dxa"/>
            <w:tcBorders>
              <w:bottom w:val="single" w:sz="8" w:space="0" w:color="000000"/>
            </w:tcBorders>
            <w:shd w:fill="CCEEFF" w:val="clear"/>
            <w:vAlign w:val="center"/>
          </w:tcPr>
          <w:p>
            <w:pPr>
              <w:pStyle w:val="TableContents"/>
              <w:bidi w:val="0"/>
              <w:spacing w:before="0" w:after="283"/>
              <w:jc w:val="right"/>
              <w:rPr/>
            </w:pPr>
            <w:r>
              <w:rPr/>
              <w:t>1,774,721</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4460" w:type="dxa"/>
            <w:tcBorders/>
            <w:shd w:fill="FFFFFF" w:val="clear"/>
            <w:tcMar>
              <w:bottom w:w="0" w:type="dxa"/>
            </w:tcMar>
            <w:vAlign w:val="center"/>
          </w:tcPr>
          <w:p>
            <w:pPr>
              <w:pStyle w:val="TableContents"/>
              <w:bidi w:val="0"/>
              <w:spacing w:before="0" w:after="283"/>
              <w:jc w:val="left"/>
              <w:rPr>
                <w:b/>
              </w:rPr>
            </w:pPr>
            <w:r>
              <w:rPr>
                <w:b/>
              </w:rPr>
              <w:t>Total estimated preliminary consideration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40" w:type="dxa"/>
            <w:tcBorders/>
            <w:shd w:fill="FFFFFF" w:val="clear"/>
            <w:tcMar>
              <w:bottom w:w="0" w:type="dxa"/>
            </w:tcMar>
            <w:vAlign w:val="center"/>
          </w:tcPr>
          <w:p>
            <w:pPr>
              <w:pStyle w:val="TableContents"/>
              <w:bidi w:val="0"/>
              <w:spacing w:before="0" w:after="283"/>
              <w:jc w:val="center"/>
              <w:rPr>
                <w:b/>
              </w:rPr>
            </w:pPr>
            <w:r>
              <w:rPr>
                <w:b/>
              </w:rPr>
              <w:t>[E] + [G] + [H] +[I]</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6" w:type="dxa"/>
            <w:tcBorders>
              <w:bottom w:val="double" w:sz="6" w:space="0" w:color="000000"/>
            </w:tcBorders>
            <w:shd w:fill="FFFFFF" w:val="clear"/>
            <w:vAlign w:val="center"/>
          </w:tcPr>
          <w:p>
            <w:pPr>
              <w:pStyle w:val="TableContents"/>
              <w:bidi w:val="0"/>
              <w:spacing w:before="0" w:after="283"/>
              <w:jc w:val="left"/>
              <w:rPr/>
            </w:pPr>
            <w:r>
              <w:rPr/>
              <w:t>$</w:t>
            </w:r>
          </w:p>
        </w:tc>
        <w:tc>
          <w:tcPr>
            <w:tcW w:w="1723" w:type="dxa"/>
            <w:tcBorders>
              <w:bottom w:val="double" w:sz="6" w:space="0" w:color="000000"/>
            </w:tcBorders>
            <w:shd w:fill="FFFFFF" w:val="clear"/>
            <w:vAlign w:val="center"/>
          </w:tcPr>
          <w:p>
            <w:pPr>
              <w:pStyle w:val="TableContents"/>
              <w:bidi w:val="0"/>
              <w:spacing w:before="0" w:after="283"/>
              <w:jc w:val="right"/>
              <w:rPr/>
            </w:pPr>
            <w:r>
              <w:rPr/>
              <w:t>7,589,872</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jc w:val="left"/>
        <w:rPr>
          <w:bdr w:val="single" w:sz="8" w:space="1" w:color="000000"/>
        </w:rPr>
      </w:pPr>
      <w:r>
        <w:rPr>
          <w:bdr w:val="single" w:sz="8" w:space="1" w:color="000000"/>
        </w:rPr>
        <w:t> </w:t>
      </w:r>
    </w:p>
    <w:tbl>
      <w:tblPr>
        <w:tblW w:w="5298" w:type="dxa"/>
        <w:jc w:val="left"/>
        <w:tblInd w:w="0" w:type="dxa"/>
        <w:tblLayout w:type="fixed"/>
        <w:tblCellMar>
          <w:top w:w="0" w:type="dxa"/>
          <w:left w:w="0" w:type="dxa"/>
          <w:bottom w:w="0" w:type="dxa"/>
          <w:right w:w="0" w:type="dxa"/>
        </w:tblCellMar>
      </w:tblPr>
      <w:tblGrid>
        <w:gridCol w:w="38"/>
        <w:gridCol w:w="80"/>
        <w:gridCol w:w="5180"/>
      </w:tblGrid>
      <w:tr>
        <w:trPr/>
        <w:tc>
          <w:tcPr>
            <w:tcW w:w="38"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18"/>
              </w:rPr>
            </w:pPr>
            <w:r>
              <w:rPr>
                <w:sz w:val="18"/>
              </w:rPr>
              <w:t>¹</w:t>
            </w:r>
          </w:p>
        </w:tc>
        <w:tc>
          <w:tcPr>
            <w:tcW w:w="5180" w:type="dxa"/>
            <w:tcBorders/>
            <w:vAlign w:val="center"/>
          </w:tcPr>
          <w:p>
            <w:pPr>
              <w:pStyle w:val="TableContents"/>
              <w:bidi w:val="0"/>
              <w:spacing w:before="0" w:after="283"/>
              <w:jc w:val="both"/>
              <w:rPr>
                <w:sz w:val="18"/>
              </w:rPr>
            </w:pPr>
            <w:r>
              <w:rPr>
                <w:sz w:val="18"/>
              </w:rPr>
              <w:t>These equity awards will be cash-settled in connection with the Mergers.</w:t>
            </w:r>
          </w:p>
        </w:tc>
      </w:tr>
    </w:tbl>
    <w:tbl>
      <w:tblPr>
        <w:tblW w:w="10205" w:type="dxa"/>
        <w:jc w:val="left"/>
        <w:tblInd w:w="0" w:type="dxa"/>
        <w:tblLayout w:type="fixed"/>
        <w:tblCellMar>
          <w:top w:w="0" w:type="dxa"/>
          <w:left w:w="0" w:type="dxa"/>
          <w:bottom w:w="0" w:type="dxa"/>
          <w:right w:w="0" w:type="dxa"/>
        </w:tblCellMar>
      </w:tblPr>
      <w:tblGrid>
        <w:gridCol w:w="38"/>
        <w:gridCol w:w="80"/>
        <w:gridCol w:w="10087"/>
      </w:tblGrid>
      <w:tr>
        <w:trPr/>
        <w:tc>
          <w:tcPr>
            <w:tcW w:w="38"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18"/>
              </w:rPr>
            </w:pPr>
            <w:r>
              <w:rPr>
                <w:sz w:val="18"/>
              </w:rPr>
              <w:t>²</w:t>
            </w:r>
          </w:p>
        </w:tc>
        <w:tc>
          <w:tcPr>
            <w:tcW w:w="10087" w:type="dxa"/>
            <w:tcBorders/>
            <w:vAlign w:val="center"/>
          </w:tcPr>
          <w:p>
            <w:pPr>
              <w:pStyle w:val="TableContents"/>
              <w:bidi w:val="0"/>
              <w:spacing w:before="0" w:after="283"/>
              <w:jc w:val="both"/>
              <w:rPr>
                <w:sz w:val="18"/>
              </w:rPr>
            </w:pPr>
            <w:r>
              <w:rPr>
                <w:sz w:val="18"/>
              </w:rPr>
              <w:t>Represents the estimated acquisition-date fair value of outstanding Iridium Option Awards which will be fully vested and exercisable and canceled at the Closing and converted into the right to receive the Merger Consideration in respect of each share of Iridium Common Stock covered by such Iridium Option Award, calculated net of the applicable exercise price.</w:t>
            </w:r>
          </w:p>
        </w:tc>
      </w:tr>
    </w:tbl>
    <w:p>
      <w:pPr>
        <w:pStyle w:val="TextBody"/>
        <w:bidi w:val="0"/>
        <w:ind w:left="0" w:right="0" w:firstLine="540"/>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Mergers, outstanding Iridium RSU Awards and Iridium PSU Awards will be converted into Rocket Lab RSUs. A portion of the fair value of the converted RSUs and PSUs will be attributed to pre-combination service and included as a component of purchase consideration. The amount allocated to purchase consideration related to the converted RSUs is $80,682. In addition, Iridium Option Awards covering 153,694 shares of Iridium Common Stock will be converted into the right to receive the Merger Consideration in respect of those shares, calculated net of the applicable exercise price, and will be included as a component of purchase consideration at an estimated fair value of $7,674. The outstanding Iridium CSAR Awards covering 229,796 shares of Iridium Common Stock will be converted into the right to receive the Merger Consideration payable solely in cash, and are also included as a component of purchase consideration at an estimate fair value of $5,443.</w:t>
      </w:r>
    </w:p>
    <w:p>
      <w:pPr>
        <w:pStyle w:val="TextBody"/>
        <w:bidi w:val="0"/>
        <w:ind w:left="0" w:right="0" w:firstLine="54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Merger consideration sensitivity</w:t>
      </w:r>
    </w:p>
    <w:p>
      <w:pPr>
        <w:pStyle w:val="TextBody"/>
        <w:bidi w:val="0"/>
        <w:ind w:left="0" w:right="0" w:firstLine="360"/>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actual purchase price will fluctuate with the market price of shares of Rocket Lab Common Stock until the merger is consummated. As a result, the final purchase price could differ significantly from the current estimate, which could materially impact the unaudited pro forma financial statements. The Exchange Ratio mechanics cause changes in Rocket Lab Stock Price between $67.50 to $112.50 to result in immaterial differences to preliminary purchase consideration. For every $1 increase in the share price above the $112.50 threshold, preliminary purchase consideration is expected to increase by approximately $25,430. For every $1 decrease in the share price below the $67.50 threshold, preliminary purchase consideration is expected to decrease by approximately $42,383.</w:t>
      </w:r>
    </w:p>
    <w:p>
      <w:pPr>
        <w:pStyle w:val="TextBody"/>
        <w:bidi w:val="0"/>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change in the value of equity awards allocated to purchase consideration due to a change in the Rocket Lab Stock Price is not expected to be significant.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Preliminary Purchase Price Allocation</w:t>
      </w:r>
    </w:p>
    <w:p>
      <w:pPr>
        <w:pStyle w:val="TextBody"/>
        <w:bidi w:val="0"/>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preliminary estimate of fair values of assets acquired and liabilities assumed of Iridium, the Company used publicly available benchmarking information as well as a variety of other assumptions, including market participant assumptions. The Company has, and is expected to use, widely accepted income-based, market-based, and cost-based valuation approaches upon finalization of purchase accounting for the Purchase. Actual results may differ materially from the assumptions within this unaudited pro forma condensed combined financial information.</w:t>
      </w:r>
    </w:p>
    <w:p>
      <w:pPr>
        <w:pStyle w:val="TextBody"/>
        <w:bidi w:val="0"/>
        <w:jc w:val="left"/>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adjustments are based upon available information and certain assumptions the Company believes are reasonable under the circumstances.</w:t>
      </w:r>
    </w:p>
    <w:p>
      <w:pPr>
        <w:pStyle w:val="TextBody"/>
        <w:bidi w:val="0"/>
        <w:ind w:left="0" w:right="0" w:firstLine="540"/>
        <w:jc w:val="both"/>
        <w:rPr>
          <w:caps w:val="false"/>
          <w:smallCaps w:val="false"/>
        </w:rPr>
      </w:pPr>
      <w:r>
        <w:rPr>
          <w:caps w:val="false"/>
          <w:smallCaps w:val="false"/>
        </w:rPr>
        <w:t> </w:t>
      </w:r>
    </w:p>
    <w:p>
      <w:pPr>
        <w:pStyle w:val="TextBody"/>
        <w:bidi w:val="0"/>
        <w:spacing w:before="0" w:after="0"/>
        <w:ind w:left="0" w:right="0" w:firstLine="54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13</w:t>
      </w:r>
    </w:p>
    <w:p>
      <w:pPr>
        <w:pStyle w:val="TextBody"/>
        <w:bidi w:val="0"/>
        <w:spacing w:before="0" w:after="0"/>
        <w:ind w:left="0" w:right="0" w:hanging="0"/>
        <w:jc w:val="left"/>
        <w:rPr/>
      </w:pPr>
      <w:r>
        <w:rPr/>
        <w:t> </w:t>
      </w:r>
    </w:p>
    <w:p>
      <w:pPr>
        <w:pStyle w:val="TextBody"/>
        <w:bidi w:val="0"/>
        <w:ind w:left="0" w:right="0" w:firstLine="540"/>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preliminary purchase price allocation as of the date of the Purchase (in thousands):</w:t>
      </w:r>
    </w:p>
    <w:p>
      <w:pPr>
        <w:pStyle w:val="TextBody"/>
        <w:bidi w:val="0"/>
        <w:ind w:left="0" w:right="0" w:firstLine="540"/>
        <w:jc w:val="left"/>
        <w:rPr>
          <w:caps w:val="false"/>
          <w:smallCaps w:val="false"/>
        </w:rPr>
      </w:pPr>
      <w:r>
        <w:rPr>
          <w:caps w:val="false"/>
          <w:smallCaps w:val="false"/>
        </w:rPr>
        <w:t> </w:t>
      </w:r>
    </w:p>
    <w:tbl>
      <w:tblPr>
        <w:tblW w:w="4899" w:type="dxa"/>
        <w:jc w:val="left"/>
        <w:tblInd w:w="0" w:type="dxa"/>
        <w:tblLayout w:type="fixed"/>
        <w:tblCellMar>
          <w:top w:w="0" w:type="dxa"/>
          <w:left w:w="0" w:type="dxa"/>
          <w:bottom w:w="0" w:type="dxa"/>
          <w:right w:w="0" w:type="dxa"/>
        </w:tblCellMar>
      </w:tblPr>
      <w:tblGrid>
        <w:gridCol w:w="3560"/>
        <w:gridCol w:w="60"/>
        <w:gridCol w:w="150"/>
        <w:gridCol w:w="1054"/>
        <w:gridCol w:w="75"/>
      </w:tblGrid>
      <w:tr>
        <w:trPr/>
        <w:tc>
          <w:tcPr>
            <w:tcW w:w="35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4"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 xml:space="preserve">Estimated Fair </w:t>
            </w:r>
          </w:p>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Value</w:t>
            </w:r>
          </w:p>
        </w:tc>
        <w:tc>
          <w:tcPr>
            <w:tcW w:w="75" w:type="dxa"/>
            <w:tcBorders/>
            <w:vAlign w:val="center"/>
          </w:tcPr>
          <w:p>
            <w:pPr>
              <w:pStyle w:val="TableContents"/>
              <w:bidi w:val="0"/>
              <w:spacing w:before="0" w:after="283"/>
              <w:jc w:val="left"/>
              <w:rPr/>
            </w:pPr>
            <w:r>
              <w:rPr/>
              <w:t> </w:t>
            </w:r>
          </w:p>
        </w:tc>
      </w:tr>
      <w:tr>
        <w:trPr/>
        <w:tc>
          <w:tcPr>
            <w:tcW w:w="3560" w:type="dxa"/>
            <w:tcBorders/>
            <w:shd w:fill="CCEEFF" w:val="clear"/>
            <w:vAlign w:val="center"/>
          </w:tcPr>
          <w:p>
            <w:pPr>
              <w:pStyle w:val="TableContents"/>
              <w:bidi w:val="0"/>
              <w:spacing w:before="0" w:after="283"/>
              <w:jc w:val="left"/>
              <w:rPr>
                <w:b/>
              </w:rPr>
            </w:pPr>
            <w:r>
              <w:rPr>
                <w:b/>
              </w:rPr>
              <w:t>Total estimated purchase price</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w:t>
            </w:r>
          </w:p>
        </w:tc>
        <w:tc>
          <w:tcPr>
            <w:tcW w:w="1054" w:type="dxa"/>
            <w:tcBorders/>
            <w:shd w:fill="CCEEFF" w:val="clear"/>
            <w:vAlign w:val="center"/>
          </w:tcPr>
          <w:p>
            <w:pPr>
              <w:pStyle w:val="TableContents"/>
              <w:bidi w:val="0"/>
              <w:spacing w:before="0" w:after="283"/>
              <w:jc w:val="right"/>
              <w:rPr/>
            </w:pPr>
            <w:r>
              <w:rPr/>
              <w:t>7,589,872</w:t>
            </w:r>
          </w:p>
        </w:tc>
        <w:tc>
          <w:tcPr>
            <w:tcW w:w="75" w:type="dxa"/>
            <w:tcBorders/>
            <w:shd w:fill="CCEEFF" w:val="clear"/>
            <w:vAlign w:val="center"/>
          </w:tcPr>
          <w:p>
            <w:pPr>
              <w:pStyle w:val="TableContents"/>
              <w:bidi w:val="0"/>
              <w:spacing w:before="0" w:after="283"/>
              <w:jc w:val="left"/>
              <w:rPr/>
            </w:pPr>
            <w:r>
              <w:rPr/>
              <w:t> </w:t>
            </w:r>
          </w:p>
        </w:tc>
      </w:tr>
      <w:tr>
        <w:trPr/>
        <w:tc>
          <w:tcPr>
            <w:tcW w:w="3560" w:type="dxa"/>
            <w:tcBorders/>
            <w:shd w:fill="FFFFFF" w:val="clear"/>
            <w:vAlign w:val="center"/>
          </w:tcPr>
          <w:p>
            <w:pPr>
              <w:pStyle w:val="TableContents"/>
              <w:bidi w:val="0"/>
              <w:spacing w:before="0" w:after="283"/>
              <w:jc w:val="left"/>
              <w:rPr>
                <w:b/>
              </w:rPr>
            </w:pPr>
            <w:r>
              <w:rPr>
                <w:b/>
              </w:rPr>
              <w:t>Assets:</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054"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560"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054" w:type="dxa"/>
            <w:tcBorders/>
            <w:shd w:fill="CCEEFF" w:val="clear"/>
            <w:vAlign w:val="center"/>
          </w:tcPr>
          <w:p>
            <w:pPr>
              <w:pStyle w:val="TableContents"/>
              <w:bidi w:val="0"/>
              <w:spacing w:before="0" w:after="283"/>
              <w:jc w:val="right"/>
              <w:rPr/>
            </w:pPr>
            <w:r>
              <w:rPr/>
              <w:t>184,214</w:t>
            </w:r>
          </w:p>
        </w:tc>
        <w:tc>
          <w:tcPr>
            <w:tcW w:w="75" w:type="dxa"/>
            <w:tcBorders/>
            <w:shd w:fill="CCEEFF" w:val="clear"/>
            <w:vAlign w:val="center"/>
          </w:tcPr>
          <w:p>
            <w:pPr>
              <w:pStyle w:val="TableContents"/>
              <w:bidi w:val="0"/>
              <w:spacing w:before="0" w:after="283"/>
              <w:jc w:val="left"/>
              <w:rPr/>
            </w:pPr>
            <w:r>
              <w:rPr/>
              <w:t> </w:t>
            </w:r>
          </w:p>
        </w:tc>
      </w:tr>
      <w:tr>
        <w:trPr/>
        <w:tc>
          <w:tcPr>
            <w:tcW w:w="3560" w:type="dxa"/>
            <w:tcBorders/>
            <w:shd w:fill="FFFFFF" w:val="clear"/>
            <w:vAlign w:val="center"/>
          </w:tcPr>
          <w:p>
            <w:pPr>
              <w:pStyle w:val="TableContents"/>
              <w:bidi w:val="0"/>
              <w:spacing w:before="0" w:after="283"/>
              <w:jc w:val="left"/>
              <w:rPr/>
            </w:pPr>
            <w:r>
              <w:rPr/>
              <w:t>Accounts receivable, net</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054" w:type="dxa"/>
            <w:tcBorders/>
            <w:shd w:fill="FFFFFF" w:val="clear"/>
            <w:vAlign w:val="center"/>
          </w:tcPr>
          <w:p>
            <w:pPr>
              <w:pStyle w:val="TableContents"/>
              <w:bidi w:val="0"/>
              <w:spacing w:before="0" w:after="283"/>
              <w:jc w:val="right"/>
              <w:rPr/>
            </w:pPr>
            <w:r>
              <w:rPr/>
              <w:t>104,515</w:t>
            </w:r>
          </w:p>
        </w:tc>
        <w:tc>
          <w:tcPr>
            <w:tcW w:w="75" w:type="dxa"/>
            <w:tcBorders/>
            <w:shd w:fill="FFFFFF" w:val="clear"/>
            <w:vAlign w:val="center"/>
          </w:tcPr>
          <w:p>
            <w:pPr>
              <w:pStyle w:val="TableContents"/>
              <w:bidi w:val="0"/>
              <w:spacing w:before="0" w:after="283"/>
              <w:jc w:val="left"/>
              <w:rPr/>
            </w:pPr>
            <w:r>
              <w:rPr/>
              <w:t> </w:t>
            </w:r>
          </w:p>
        </w:tc>
      </w:tr>
      <w:tr>
        <w:trPr/>
        <w:tc>
          <w:tcPr>
            <w:tcW w:w="3560" w:type="dxa"/>
            <w:tcBorders/>
            <w:shd w:fill="CCEEFF" w:val="clear"/>
            <w:vAlign w:val="center"/>
          </w:tcPr>
          <w:p>
            <w:pPr>
              <w:pStyle w:val="TableContents"/>
              <w:bidi w:val="0"/>
              <w:spacing w:before="0" w:after="283"/>
              <w:jc w:val="left"/>
              <w:rPr/>
            </w:pPr>
            <w:r>
              <w:rPr/>
              <w:t>Contract assets</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054" w:type="dxa"/>
            <w:tcBorders/>
            <w:shd w:fill="CCEEFF" w:val="clear"/>
            <w:vAlign w:val="center"/>
          </w:tcPr>
          <w:p>
            <w:pPr>
              <w:pStyle w:val="TableContents"/>
              <w:bidi w:val="0"/>
              <w:spacing w:before="0" w:after="283"/>
              <w:jc w:val="right"/>
              <w:rPr/>
            </w:pPr>
            <w:r>
              <w:rPr/>
              <w:t>3,086</w:t>
            </w:r>
          </w:p>
        </w:tc>
        <w:tc>
          <w:tcPr>
            <w:tcW w:w="75" w:type="dxa"/>
            <w:tcBorders/>
            <w:shd w:fill="CCEEFF" w:val="clear"/>
            <w:vAlign w:val="center"/>
          </w:tcPr>
          <w:p>
            <w:pPr>
              <w:pStyle w:val="TableContents"/>
              <w:bidi w:val="0"/>
              <w:spacing w:before="0" w:after="283"/>
              <w:jc w:val="left"/>
              <w:rPr/>
            </w:pPr>
            <w:r>
              <w:rPr/>
              <w:t> </w:t>
            </w:r>
          </w:p>
        </w:tc>
      </w:tr>
      <w:tr>
        <w:trPr/>
        <w:tc>
          <w:tcPr>
            <w:tcW w:w="3560" w:type="dxa"/>
            <w:tcBorders/>
            <w:shd w:fill="FFFFFF" w:val="clear"/>
            <w:vAlign w:val="center"/>
          </w:tcPr>
          <w:p>
            <w:pPr>
              <w:pStyle w:val="TableContents"/>
              <w:bidi w:val="0"/>
              <w:spacing w:before="0" w:after="283"/>
              <w:jc w:val="left"/>
              <w:rPr/>
            </w:pPr>
            <w:r>
              <w:rPr/>
              <w:t>Inventories</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054" w:type="dxa"/>
            <w:tcBorders/>
            <w:shd w:fill="FFFFFF" w:val="clear"/>
            <w:vAlign w:val="center"/>
          </w:tcPr>
          <w:p>
            <w:pPr>
              <w:pStyle w:val="TableContents"/>
              <w:bidi w:val="0"/>
              <w:spacing w:before="0" w:after="283"/>
              <w:jc w:val="right"/>
              <w:rPr/>
            </w:pPr>
            <w:r>
              <w:rPr/>
              <w:t>63,470</w:t>
            </w:r>
          </w:p>
        </w:tc>
        <w:tc>
          <w:tcPr>
            <w:tcW w:w="75" w:type="dxa"/>
            <w:tcBorders/>
            <w:shd w:fill="FFFFFF" w:val="clear"/>
            <w:vAlign w:val="center"/>
          </w:tcPr>
          <w:p>
            <w:pPr>
              <w:pStyle w:val="TableContents"/>
              <w:bidi w:val="0"/>
              <w:spacing w:before="0" w:after="283"/>
              <w:jc w:val="left"/>
              <w:rPr/>
            </w:pPr>
            <w:r>
              <w:rPr/>
              <w:t> </w:t>
            </w:r>
          </w:p>
        </w:tc>
      </w:tr>
      <w:tr>
        <w:trPr/>
        <w:tc>
          <w:tcPr>
            <w:tcW w:w="3560" w:type="dxa"/>
            <w:tcBorders/>
            <w:shd w:fill="CCEEFF" w:val="clear"/>
            <w:vAlign w:val="center"/>
          </w:tcPr>
          <w:p>
            <w:pPr>
              <w:pStyle w:val="TableContents"/>
              <w:bidi w:val="0"/>
              <w:spacing w:before="0" w:after="283"/>
              <w:jc w:val="left"/>
              <w:rPr/>
            </w:pPr>
            <w:r>
              <w:rPr/>
              <w:t>Prepaids and other current assets</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054" w:type="dxa"/>
            <w:tcBorders/>
            <w:shd w:fill="CCEEFF" w:val="clear"/>
            <w:vAlign w:val="center"/>
          </w:tcPr>
          <w:p>
            <w:pPr>
              <w:pStyle w:val="TableContents"/>
              <w:bidi w:val="0"/>
              <w:spacing w:before="0" w:after="283"/>
              <w:jc w:val="right"/>
              <w:rPr/>
            </w:pPr>
            <w:r>
              <w:rPr/>
              <w:t>21,781</w:t>
            </w:r>
          </w:p>
        </w:tc>
        <w:tc>
          <w:tcPr>
            <w:tcW w:w="75" w:type="dxa"/>
            <w:tcBorders/>
            <w:shd w:fill="CCEEFF" w:val="clear"/>
            <w:vAlign w:val="center"/>
          </w:tcPr>
          <w:p>
            <w:pPr>
              <w:pStyle w:val="TableContents"/>
              <w:bidi w:val="0"/>
              <w:spacing w:before="0" w:after="283"/>
              <w:jc w:val="left"/>
              <w:rPr/>
            </w:pPr>
            <w:r>
              <w:rPr/>
              <w:t> </w:t>
            </w:r>
          </w:p>
        </w:tc>
      </w:tr>
      <w:tr>
        <w:trPr/>
        <w:tc>
          <w:tcPr>
            <w:tcW w:w="3560" w:type="dxa"/>
            <w:tcBorders/>
            <w:shd w:fill="FFFFFF" w:val="clear"/>
            <w:vAlign w:val="center"/>
          </w:tcPr>
          <w:p>
            <w:pPr>
              <w:pStyle w:val="TableContents"/>
              <w:bidi w:val="0"/>
              <w:spacing w:before="0" w:after="283"/>
              <w:jc w:val="left"/>
              <w:rPr/>
            </w:pPr>
            <w:r>
              <w:rPr/>
              <w:t>Property, plant and equipment, net</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054" w:type="dxa"/>
            <w:tcBorders/>
            <w:shd w:fill="FFFFFF" w:val="clear"/>
            <w:vAlign w:val="center"/>
          </w:tcPr>
          <w:p>
            <w:pPr>
              <w:pStyle w:val="TableContents"/>
              <w:bidi w:val="0"/>
              <w:spacing w:before="0" w:after="283"/>
              <w:jc w:val="right"/>
              <w:rPr/>
            </w:pPr>
            <w:r>
              <w:rPr/>
              <w:t>1,927,018</w:t>
            </w:r>
          </w:p>
        </w:tc>
        <w:tc>
          <w:tcPr>
            <w:tcW w:w="75" w:type="dxa"/>
            <w:tcBorders/>
            <w:shd w:fill="FFFFFF" w:val="clear"/>
            <w:vAlign w:val="center"/>
          </w:tcPr>
          <w:p>
            <w:pPr>
              <w:pStyle w:val="TableContents"/>
              <w:bidi w:val="0"/>
              <w:spacing w:before="0" w:after="283"/>
              <w:jc w:val="left"/>
              <w:rPr/>
            </w:pPr>
            <w:r>
              <w:rPr/>
              <w:t> </w:t>
            </w:r>
          </w:p>
        </w:tc>
      </w:tr>
      <w:tr>
        <w:trPr/>
        <w:tc>
          <w:tcPr>
            <w:tcW w:w="3560" w:type="dxa"/>
            <w:tcBorders/>
            <w:shd w:fill="CCEEFF" w:val="clear"/>
            <w:vAlign w:val="center"/>
          </w:tcPr>
          <w:p>
            <w:pPr>
              <w:pStyle w:val="TableContents"/>
              <w:bidi w:val="0"/>
              <w:spacing w:before="0" w:after="283"/>
              <w:jc w:val="left"/>
              <w:rPr/>
            </w:pPr>
            <w:r>
              <w:rPr/>
              <w:t>Intangible assets, net</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054" w:type="dxa"/>
            <w:tcBorders/>
            <w:shd w:fill="CCEEFF" w:val="clear"/>
            <w:vAlign w:val="center"/>
          </w:tcPr>
          <w:p>
            <w:pPr>
              <w:pStyle w:val="TableContents"/>
              <w:bidi w:val="0"/>
              <w:spacing w:before="0" w:after="283"/>
              <w:jc w:val="right"/>
              <w:rPr/>
            </w:pPr>
            <w:r>
              <w:rPr/>
              <w:t>4,329,338</w:t>
            </w:r>
          </w:p>
        </w:tc>
        <w:tc>
          <w:tcPr>
            <w:tcW w:w="75" w:type="dxa"/>
            <w:tcBorders/>
            <w:shd w:fill="CCEEFF" w:val="clear"/>
            <w:vAlign w:val="center"/>
          </w:tcPr>
          <w:p>
            <w:pPr>
              <w:pStyle w:val="TableContents"/>
              <w:bidi w:val="0"/>
              <w:spacing w:before="0" w:after="283"/>
              <w:jc w:val="left"/>
              <w:rPr/>
            </w:pPr>
            <w:r>
              <w:rPr/>
              <w:t> </w:t>
            </w:r>
          </w:p>
        </w:tc>
      </w:tr>
      <w:tr>
        <w:trPr/>
        <w:tc>
          <w:tcPr>
            <w:tcW w:w="3560" w:type="dxa"/>
            <w:tcBorders/>
            <w:shd w:fill="FFFFFF" w:val="clear"/>
            <w:vAlign w:val="center"/>
          </w:tcPr>
          <w:p>
            <w:pPr>
              <w:pStyle w:val="TableContents"/>
              <w:bidi w:val="0"/>
              <w:spacing w:before="0" w:after="283"/>
              <w:jc w:val="left"/>
              <w:rPr/>
            </w:pPr>
            <w:r>
              <w:rPr/>
              <w:t>Right-of-use assets - operating leases</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054" w:type="dxa"/>
            <w:tcBorders/>
            <w:shd w:fill="FFFFFF" w:val="clear"/>
            <w:vAlign w:val="center"/>
          </w:tcPr>
          <w:p>
            <w:pPr>
              <w:pStyle w:val="TableContents"/>
              <w:bidi w:val="0"/>
              <w:spacing w:before="0" w:after="283"/>
              <w:jc w:val="right"/>
              <w:rPr/>
            </w:pPr>
            <w:r>
              <w:rPr/>
              <w:t>25,096</w:t>
            </w:r>
          </w:p>
        </w:tc>
        <w:tc>
          <w:tcPr>
            <w:tcW w:w="75" w:type="dxa"/>
            <w:tcBorders/>
            <w:shd w:fill="FFFFFF" w:val="clear"/>
            <w:vAlign w:val="center"/>
          </w:tcPr>
          <w:p>
            <w:pPr>
              <w:pStyle w:val="TableContents"/>
              <w:bidi w:val="0"/>
              <w:spacing w:before="0" w:after="283"/>
              <w:jc w:val="left"/>
              <w:rPr/>
            </w:pPr>
            <w:r>
              <w:rPr/>
              <w:t> </w:t>
            </w:r>
          </w:p>
        </w:tc>
      </w:tr>
      <w:tr>
        <w:trPr/>
        <w:tc>
          <w:tcPr>
            <w:tcW w:w="3560" w:type="dxa"/>
            <w:tcBorders/>
            <w:shd w:fill="CCEEFF" w:val="clear"/>
            <w:vAlign w:val="center"/>
          </w:tcPr>
          <w:p>
            <w:pPr>
              <w:pStyle w:val="TableContents"/>
              <w:bidi w:val="0"/>
              <w:spacing w:before="0" w:after="283"/>
              <w:jc w:val="left"/>
              <w:rPr/>
            </w:pPr>
            <w:r>
              <w:rPr/>
              <w:t>Restricted cash</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054" w:type="dxa"/>
            <w:tcBorders/>
            <w:shd w:fill="CCEEFF" w:val="clear"/>
            <w:vAlign w:val="center"/>
          </w:tcPr>
          <w:p>
            <w:pPr>
              <w:pStyle w:val="TableContents"/>
              <w:bidi w:val="0"/>
              <w:spacing w:before="0" w:after="283"/>
              <w:jc w:val="right"/>
              <w:rPr/>
            </w:pPr>
            <w:r>
              <w:rPr/>
              <w:t>199</w:t>
            </w:r>
          </w:p>
        </w:tc>
        <w:tc>
          <w:tcPr>
            <w:tcW w:w="75" w:type="dxa"/>
            <w:tcBorders/>
            <w:shd w:fill="CCEEFF" w:val="clear"/>
            <w:vAlign w:val="center"/>
          </w:tcPr>
          <w:p>
            <w:pPr>
              <w:pStyle w:val="TableContents"/>
              <w:bidi w:val="0"/>
              <w:spacing w:before="0" w:after="283"/>
              <w:jc w:val="left"/>
              <w:rPr/>
            </w:pPr>
            <w:r>
              <w:rPr/>
              <w:t> </w:t>
            </w:r>
          </w:p>
        </w:tc>
      </w:tr>
      <w:tr>
        <w:trPr/>
        <w:tc>
          <w:tcPr>
            <w:tcW w:w="3560" w:type="dxa"/>
            <w:tcBorders/>
            <w:shd w:fill="FFFFFF" w:val="clear"/>
            <w:vAlign w:val="center"/>
          </w:tcPr>
          <w:p>
            <w:pPr>
              <w:pStyle w:val="TableContents"/>
              <w:bidi w:val="0"/>
              <w:spacing w:before="0" w:after="283"/>
              <w:jc w:val="left"/>
              <w:rPr/>
            </w:pPr>
            <w:r>
              <w:rPr/>
              <w:t>Deferred income tax assets, net</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054" w:type="dxa"/>
            <w:tcBorders/>
            <w:shd w:fill="FFFFFF" w:val="clear"/>
            <w:vAlign w:val="center"/>
          </w:tcPr>
          <w:p>
            <w:pPr>
              <w:pStyle w:val="TableContents"/>
              <w:bidi w:val="0"/>
              <w:spacing w:before="0" w:after="283"/>
              <w:jc w:val="right"/>
              <w:rPr/>
            </w:pPr>
            <w:r>
              <w:rPr/>
              <w:t>2,198</w:t>
            </w:r>
          </w:p>
        </w:tc>
        <w:tc>
          <w:tcPr>
            <w:tcW w:w="75" w:type="dxa"/>
            <w:tcBorders/>
            <w:shd w:fill="FFFFFF" w:val="clear"/>
            <w:vAlign w:val="center"/>
          </w:tcPr>
          <w:p>
            <w:pPr>
              <w:pStyle w:val="TableContents"/>
              <w:bidi w:val="0"/>
              <w:spacing w:before="0" w:after="283"/>
              <w:jc w:val="left"/>
              <w:rPr/>
            </w:pPr>
            <w:r>
              <w:rPr/>
              <w:t> </w:t>
            </w:r>
          </w:p>
        </w:tc>
      </w:tr>
      <w:tr>
        <w:trPr/>
        <w:tc>
          <w:tcPr>
            <w:tcW w:w="3560" w:type="dxa"/>
            <w:tcBorders/>
            <w:shd w:fill="CCEEFF" w:val="clear"/>
            <w:vAlign w:val="center"/>
          </w:tcPr>
          <w:p>
            <w:pPr>
              <w:pStyle w:val="TableContents"/>
              <w:bidi w:val="0"/>
              <w:spacing w:before="0" w:after="283"/>
              <w:jc w:val="left"/>
              <w:rPr/>
            </w:pPr>
            <w:r>
              <w:rPr/>
              <w:t>Other non-current assets</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4" w:type="dxa"/>
            <w:tcBorders>
              <w:bottom w:val="single" w:sz="8" w:space="0" w:color="000000"/>
            </w:tcBorders>
            <w:shd w:fill="CCEEFF" w:val="clear"/>
            <w:tcMar>
              <w:bottom w:w="28" w:type="dxa"/>
            </w:tcMar>
            <w:vAlign w:val="center"/>
          </w:tcPr>
          <w:p>
            <w:pPr>
              <w:pStyle w:val="TableContents"/>
              <w:bidi w:val="0"/>
              <w:spacing w:before="0" w:after="283"/>
              <w:jc w:val="right"/>
              <w:rPr/>
            </w:pPr>
            <w:r>
              <w:rPr/>
              <w:t>44,808</w:t>
            </w:r>
          </w:p>
        </w:tc>
        <w:tc>
          <w:tcPr>
            <w:tcW w:w="75" w:type="dxa"/>
            <w:tcBorders/>
            <w:shd w:fill="CCEEFF" w:val="clear"/>
            <w:vAlign w:val="center"/>
          </w:tcPr>
          <w:p>
            <w:pPr>
              <w:pStyle w:val="TableContents"/>
              <w:bidi w:val="0"/>
              <w:spacing w:before="0" w:after="283"/>
              <w:jc w:val="left"/>
              <w:rPr/>
            </w:pPr>
            <w:r>
              <w:rPr/>
              <w:t> </w:t>
            </w:r>
          </w:p>
        </w:tc>
      </w:tr>
      <w:tr>
        <w:trPr/>
        <w:tc>
          <w:tcPr>
            <w:tcW w:w="3560" w:type="dxa"/>
            <w:tcBorders/>
            <w:shd w:fill="FFFFFF" w:val="clear"/>
            <w:vAlign w:val="center"/>
          </w:tcPr>
          <w:p>
            <w:pPr>
              <w:pStyle w:val="TableContents"/>
              <w:bidi w:val="0"/>
              <w:spacing w:before="0" w:after="283"/>
              <w:jc w:val="left"/>
              <w:rPr>
                <w:b/>
              </w:rPr>
            </w:pPr>
            <w:r>
              <w:rPr>
                <w:b/>
              </w:rPr>
              <w:t>Total assets acquired</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4" w:type="dxa"/>
            <w:tcBorders>
              <w:bottom w:val="single" w:sz="8" w:space="0" w:color="000000"/>
            </w:tcBorders>
            <w:shd w:fill="FFFFFF" w:val="clear"/>
            <w:tcMar>
              <w:bottom w:w="28" w:type="dxa"/>
            </w:tcMar>
            <w:vAlign w:val="center"/>
          </w:tcPr>
          <w:p>
            <w:pPr>
              <w:pStyle w:val="TableContents"/>
              <w:bidi w:val="0"/>
              <w:spacing w:before="0" w:after="283"/>
              <w:jc w:val="right"/>
              <w:rPr/>
            </w:pPr>
            <w:r>
              <w:rPr/>
              <w:t>6,705,723</w:t>
            </w:r>
          </w:p>
        </w:tc>
        <w:tc>
          <w:tcPr>
            <w:tcW w:w="75" w:type="dxa"/>
            <w:tcBorders/>
            <w:shd w:fill="FFFFFF" w:val="clear"/>
            <w:vAlign w:val="center"/>
          </w:tcPr>
          <w:p>
            <w:pPr>
              <w:pStyle w:val="TableContents"/>
              <w:bidi w:val="0"/>
              <w:spacing w:before="0" w:after="283"/>
              <w:jc w:val="left"/>
              <w:rPr/>
            </w:pPr>
            <w:r>
              <w:rPr/>
              <w:t> </w:t>
            </w:r>
          </w:p>
        </w:tc>
      </w:tr>
      <w:tr>
        <w:trPr/>
        <w:tc>
          <w:tcPr>
            <w:tcW w:w="3560" w:type="dxa"/>
            <w:tcBorders/>
            <w:shd w:fill="CCEEFF" w:val="clear"/>
            <w:vAlign w:val="center"/>
          </w:tcPr>
          <w:p>
            <w:pPr>
              <w:pStyle w:val="TableContents"/>
              <w:bidi w:val="0"/>
              <w:spacing w:before="0" w:after="283"/>
              <w:jc w:val="left"/>
              <w:rPr>
                <w:b/>
              </w:rPr>
            </w:pPr>
            <w:r>
              <w:rPr>
                <w:b/>
              </w:rPr>
              <w:t>Liabilities:</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054"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560" w:type="dxa"/>
            <w:tcBorders/>
            <w:shd w:fill="FFFFFF" w:val="clear"/>
            <w:vAlign w:val="center"/>
          </w:tcPr>
          <w:p>
            <w:pPr>
              <w:pStyle w:val="TableContents"/>
              <w:bidi w:val="0"/>
              <w:spacing w:before="0" w:after="283"/>
              <w:jc w:val="left"/>
              <w:rPr/>
            </w:pPr>
            <w:r>
              <w:rPr/>
              <w:t>Trade payables</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054" w:type="dxa"/>
            <w:tcBorders/>
            <w:shd w:fill="FFFFFF" w:val="clear"/>
            <w:vAlign w:val="center"/>
          </w:tcPr>
          <w:p>
            <w:pPr>
              <w:pStyle w:val="TableContents"/>
              <w:bidi w:val="0"/>
              <w:spacing w:before="0" w:after="283"/>
              <w:jc w:val="right"/>
              <w:rPr/>
            </w:pPr>
            <w:r>
              <w:rPr/>
              <w:t>28,460</w:t>
            </w:r>
          </w:p>
        </w:tc>
        <w:tc>
          <w:tcPr>
            <w:tcW w:w="75" w:type="dxa"/>
            <w:tcBorders/>
            <w:shd w:fill="FFFFFF" w:val="clear"/>
            <w:vAlign w:val="center"/>
          </w:tcPr>
          <w:p>
            <w:pPr>
              <w:pStyle w:val="TableContents"/>
              <w:bidi w:val="0"/>
              <w:spacing w:before="0" w:after="283"/>
              <w:jc w:val="left"/>
              <w:rPr/>
            </w:pPr>
            <w:r>
              <w:rPr/>
              <w:t> </w:t>
            </w:r>
          </w:p>
        </w:tc>
      </w:tr>
      <w:tr>
        <w:trPr/>
        <w:tc>
          <w:tcPr>
            <w:tcW w:w="3560" w:type="dxa"/>
            <w:tcBorders/>
            <w:shd w:fill="CCEEFF" w:val="clear"/>
            <w:vAlign w:val="center"/>
          </w:tcPr>
          <w:p>
            <w:pPr>
              <w:pStyle w:val="TableContents"/>
              <w:bidi w:val="0"/>
              <w:spacing w:before="0" w:after="283"/>
              <w:jc w:val="left"/>
              <w:rPr/>
            </w:pPr>
            <w:r>
              <w:rPr/>
              <w:t>Accrued expenses</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054" w:type="dxa"/>
            <w:tcBorders/>
            <w:shd w:fill="CCEEFF" w:val="clear"/>
            <w:vAlign w:val="center"/>
          </w:tcPr>
          <w:p>
            <w:pPr>
              <w:pStyle w:val="TableContents"/>
              <w:bidi w:val="0"/>
              <w:spacing w:before="0" w:after="283"/>
              <w:jc w:val="right"/>
              <w:rPr/>
            </w:pPr>
            <w:r>
              <w:rPr/>
              <w:t>291</w:t>
            </w:r>
          </w:p>
        </w:tc>
        <w:tc>
          <w:tcPr>
            <w:tcW w:w="75" w:type="dxa"/>
            <w:tcBorders/>
            <w:shd w:fill="CCEEFF" w:val="clear"/>
            <w:vAlign w:val="center"/>
          </w:tcPr>
          <w:p>
            <w:pPr>
              <w:pStyle w:val="TableContents"/>
              <w:bidi w:val="0"/>
              <w:spacing w:before="0" w:after="283"/>
              <w:jc w:val="left"/>
              <w:rPr/>
            </w:pPr>
            <w:r>
              <w:rPr/>
              <w:t> </w:t>
            </w:r>
          </w:p>
        </w:tc>
      </w:tr>
      <w:tr>
        <w:trPr/>
        <w:tc>
          <w:tcPr>
            <w:tcW w:w="3560" w:type="dxa"/>
            <w:tcBorders/>
            <w:shd w:fill="FFFFFF" w:val="clear"/>
            <w:vAlign w:val="center"/>
          </w:tcPr>
          <w:p>
            <w:pPr>
              <w:pStyle w:val="TableContents"/>
              <w:bidi w:val="0"/>
              <w:spacing w:before="0" w:after="283"/>
              <w:jc w:val="left"/>
              <w:rPr/>
            </w:pPr>
            <w:r>
              <w:rPr/>
              <w:t>Employee benefits payable</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054" w:type="dxa"/>
            <w:tcBorders/>
            <w:shd w:fill="FFFFFF" w:val="clear"/>
            <w:vAlign w:val="center"/>
          </w:tcPr>
          <w:p>
            <w:pPr>
              <w:pStyle w:val="TableContents"/>
              <w:bidi w:val="0"/>
              <w:spacing w:before="0" w:after="283"/>
              <w:jc w:val="right"/>
              <w:rPr/>
            </w:pPr>
            <w:r>
              <w:rPr/>
              <w:t>32,685</w:t>
            </w:r>
          </w:p>
        </w:tc>
        <w:tc>
          <w:tcPr>
            <w:tcW w:w="75" w:type="dxa"/>
            <w:tcBorders/>
            <w:shd w:fill="FFFFFF" w:val="clear"/>
            <w:vAlign w:val="center"/>
          </w:tcPr>
          <w:p>
            <w:pPr>
              <w:pStyle w:val="TableContents"/>
              <w:bidi w:val="0"/>
              <w:spacing w:before="0" w:after="283"/>
              <w:jc w:val="left"/>
              <w:rPr/>
            </w:pPr>
            <w:r>
              <w:rPr/>
              <w:t> </w:t>
            </w:r>
          </w:p>
        </w:tc>
      </w:tr>
      <w:tr>
        <w:trPr/>
        <w:tc>
          <w:tcPr>
            <w:tcW w:w="3560" w:type="dxa"/>
            <w:tcBorders/>
            <w:shd w:fill="CCEEFF" w:val="clear"/>
            <w:vAlign w:val="center"/>
          </w:tcPr>
          <w:p>
            <w:pPr>
              <w:pStyle w:val="TableContents"/>
              <w:bidi w:val="0"/>
              <w:spacing w:before="0" w:after="283"/>
              <w:jc w:val="left"/>
              <w:rPr/>
            </w:pPr>
            <w:r>
              <w:rPr/>
              <w:t>Contract liabilities</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054" w:type="dxa"/>
            <w:tcBorders/>
            <w:shd w:fill="CCEEFF" w:val="clear"/>
            <w:vAlign w:val="center"/>
          </w:tcPr>
          <w:p>
            <w:pPr>
              <w:pStyle w:val="TableContents"/>
              <w:bidi w:val="0"/>
              <w:spacing w:before="0" w:after="283"/>
              <w:jc w:val="right"/>
              <w:rPr/>
            </w:pPr>
            <w:r>
              <w:rPr/>
              <w:t>79,181</w:t>
            </w:r>
          </w:p>
        </w:tc>
        <w:tc>
          <w:tcPr>
            <w:tcW w:w="75" w:type="dxa"/>
            <w:tcBorders/>
            <w:shd w:fill="CCEEFF" w:val="clear"/>
            <w:vAlign w:val="center"/>
          </w:tcPr>
          <w:p>
            <w:pPr>
              <w:pStyle w:val="TableContents"/>
              <w:bidi w:val="0"/>
              <w:spacing w:before="0" w:after="283"/>
              <w:jc w:val="left"/>
              <w:rPr/>
            </w:pPr>
            <w:r>
              <w:rPr/>
              <w:t> </w:t>
            </w:r>
          </w:p>
        </w:tc>
      </w:tr>
      <w:tr>
        <w:trPr/>
        <w:tc>
          <w:tcPr>
            <w:tcW w:w="3560" w:type="dxa"/>
            <w:tcBorders/>
            <w:shd w:fill="FFFFFF" w:val="clear"/>
            <w:vAlign w:val="center"/>
          </w:tcPr>
          <w:p>
            <w:pPr>
              <w:pStyle w:val="TableContents"/>
              <w:bidi w:val="0"/>
              <w:spacing w:before="0" w:after="283"/>
              <w:jc w:val="left"/>
              <w:rPr/>
            </w:pPr>
            <w:r>
              <w:rPr/>
              <w:t>Other current liabilities</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054" w:type="dxa"/>
            <w:tcBorders/>
            <w:shd w:fill="FFFFFF" w:val="clear"/>
            <w:vAlign w:val="center"/>
          </w:tcPr>
          <w:p>
            <w:pPr>
              <w:pStyle w:val="TableContents"/>
              <w:bidi w:val="0"/>
              <w:spacing w:before="0" w:after="283"/>
              <w:jc w:val="right"/>
              <w:rPr/>
            </w:pPr>
            <w:r>
              <w:rPr/>
              <w:t>24,345</w:t>
            </w:r>
          </w:p>
        </w:tc>
        <w:tc>
          <w:tcPr>
            <w:tcW w:w="75" w:type="dxa"/>
            <w:tcBorders/>
            <w:shd w:fill="FFFFFF" w:val="clear"/>
            <w:vAlign w:val="center"/>
          </w:tcPr>
          <w:p>
            <w:pPr>
              <w:pStyle w:val="TableContents"/>
              <w:bidi w:val="0"/>
              <w:spacing w:before="0" w:after="283"/>
              <w:jc w:val="left"/>
              <w:rPr/>
            </w:pPr>
            <w:r>
              <w:rPr/>
              <w:t> </w:t>
            </w:r>
          </w:p>
        </w:tc>
      </w:tr>
      <w:tr>
        <w:trPr/>
        <w:tc>
          <w:tcPr>
            <w:tcW w:w="3560" w:type="dxa"/>
            <w:tcBorders/>
            <w:shd w:fill="CCEEFF" w:val="clear"/>
            <w:vAlign w:val="center"/>
          </w:tcPr>
          <w:p>
            <w:pPr>
              <w:pStyle w:val="TableContents"/>
              <w:bidi w:val="0"/>
              <w:spacing w:before="0" w:after="283"/>
              <w:jc w:val="left"/>
              <w:rPr/>
            </w:pPr>
            <w:r>
              <w:rPr/>
              <w:t>Non-current operating lease liabilities</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054" w:type="dxa"/>
            <w:tcBorders/>
            <w:shd w:fill="CCEEFF" w:val="clear"/>
            <w:vAlign w:val="center"/>
          </w:tcPr>
          <w:p>
            <w:pPr>
              <w:pStyle w:val="TableContents"/>
              <w:bidi w:val="0"/>
              <w:spacing w:before="0" w:after="283"/>
              <w:jc w:val="right"/>
              <w:rPr/>
            </w:pPr>
            <w:r>
              <w:rPr/>
              <w:t>25,289</w:t>
            </w:r>
          </w:p>
        </w:tc>
        <w:tc>
          <w:tcPr>
            <w:tcW w:w="75" w:type="dxa"/>
            <w:tcBorders/>
            <w:shd w:fill="CCEEFF" w:val="clear"/>
            <w:vAlign w:val="center"/>
          </w:tcPr>
          <w:p>
            <w:pPr>
              <w:pStyle w:val="TableContents"/>
              <w:bidi w:val="0"/>
              <w:spacing w:before="0" w:after="283"/>
              <w:jc w:val="left"/>
              <w:rPr/>
            </w:pPr>
            <w:r>
              <w:rPr/>
              <w:t> </w:t>
            </w:r>
          </w:p>
        </w:tc>
      </w:tr>
      <w:tr>
        <w:trPr/>
        <w:tc>
          <w:tcPr>
            <w:tcW w:w="3560" w:type="dxa"/>
            <w:tcBorders/>
            <w:shd w:fill="FFFFFF" w:val="clear"/>
            <w:vAlign w:val="center"/>
          </w:tcPr>
          <w:p>
            <w:pPr>
              <w:pStyle w:val="TableContents"/>
              <w:bidi w:val="0"/>
              <w:spacing w:before="0" w:after="283"/>
              <w:jc w:val="left"/>
              <w:rPr/>
            </w:pPr>
            <w:r>
              <w:rPr/>
              <w:t>Deferred tax liabilities</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054" w:type="dxa"/>
            <w:tcBorders/>
            <w:shd w:fill="FFFFFF" w:val="clear"/>
            <w:vAlign w:val="center"/>
          </w:tcPr>
          <w:p>
            <w:pPr>
              <w:pStyle w:val="TableContents"/>
              <w:bidi w:val="0"/>
              <w:spacing w:before="0" w:after="283"/>
              <w:jc w:val="right"/>
              <w:rPr/>
            </w:pPr>
            <w:r>
              <w:rPr/>
              <w:t>1,125,351</w:t>
            </w:r>
          </w:p>
        </w:tc>
        <w:tc>
          <w:tcPr>
            <w:tcW w:w="75" w:type="dxa"/>
            <w:tcBorders/>
            <w:shd w:fill="FFFFFF" w:val="clear"/>
            <w:vAlign w:val="center"/>
          </w:tcPr>
          <w:p>
            <w:pPr>
              <w:pStyle w:val="TableContents"/>
              <w:bidi w:val="0"/>
              <w:spacing w:before="0" w:after="283"/>
              <w:jc w:val="left"/>
              <w:rPr/>
            </w:pPr>
            <w:r>
              <w:rPr/>
              <w:t> </w:t>
            </w:r>
          </w:p>
        </w:tc>
      </w:tr>
      <w:tr>
        <w:trPr/>
        <w:tc>
          <w:tcPr>
            <w:tcW w:w="3560" w:type="dxa"/>
            <w:tcBorders/>
            <w:shd w:fill="CCEEFF" w:val="clear"/>
            <w:vAlign w:val="center"/>
          </w:tcPr>
          <w:p>
            <w:pPr>
              <w:pStyle w:val="TableContents"/>
              <w:bidi w:val="0"/>
              <w:spacing w:before="0" w:after="283"/>
              <w:jc w:val="left"/>
              <w:rPr/>
            </w:pPr>
            <w:r>
              <w:rPr/>
              <w:t>Other non-current liabilities</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4" w:type="dxa"/>
            <w:tcBorders>
              <w:bottom w:val="single" w:sz="8" w:space="0" w:color="000000"/>
            </w:tcBorders>
            <w:shd w:fill="CCEEFF" w:val="clear"/>
            <w:tcMar>
              <w:bottom w:w="28" w:type="dxa"/>
            </w:tcMar>
            <w:vAlign w:val="center"/>
          </w:tcPr>
          <w:p>
            <w:pPr>
              <w:pStyle w:val="TableContents"/>
              <w:bidi w:val="0"/>
              <w:spacing w:before="0" w:after="283"/>
              <w:jc w:val="right"/>
              <w:rPr/>
            </w:pPr>
            <w:r>
              <w:rPr/>
              <w:t>2,033</w:t>
            </w:r>
          </w:p>
        </w:tc>
        <w:tc>
          <w:tcPr>
            <w:tcW w:w="75" w:type="dxa"/>
            <w:tcBorders/>
            <w:shd w:fill="CCEEFF" w:val="clear"/>
            <w:vAlign w:val="center"/>
          </w:tcPr>
          <w:p>
            <w:pPr>
              <w:pStyle w:val="TableContents"/>
              <w:bidi w:val="0"/>
              <w:spacing w:before="0" w:after="283"/>
              <w:jc w:val="left"/>
              <w:rPr/>
            </w:pPr>
            <w:r>
              <w:rPr/>
              <w:t> </w:t>
            </w:r>
          </w:p>
        </w:tc>
      </w:tr>
      <w:tr>
        <w:trPr/>
        <w:tc>
          <w:tcPr>
            <w:tcW w:w="3560" w:type="dxa"/>
            <w:tcBorders/>
            <w:shd w:fill="FFFFFF" w:val="clear"/>
            <w:vAlign w:val="center"/>
          </w:tcPr>
          <w:p>
            <w:pPr>
              <w:pStyle w:val="TableContents"/>
              <w:bidi w:val="0"/>
              <w:spacing w:before="0" w:after="283"/>
              <w:jc w:val="left"/>
              <w:rPr>
                <w:b/>
              </w:rPr>
            </w:pPr>
            <w:r>
              <w:rPr>
                <w:b/>
              </w:rPr>
              <w:t>Total liabilities assumed</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4" w:type="dxa"/>
            <w:tcBorders>
              <w:bottom w:val="single" w:sz="8" w:space="0" w:color="000000"/>
            </w:tcBorders>
            <w:shd w:fill="FFFFFF" w:val="clear"/>
            <w:tcMar>
              <w:bottom w:w="28" w:type="dxa"/>
            </w:tcMar>
            <w:vAlign w:val="center"/>
          </w:tcPr>
          <w:p>
            <w:pPr>
              <w:pStyle w:val="TableContents"/>
              <w:bidi w:val="0"/>
              <w:spacing w:before="0" w:after="283"/>
              <w:jc w:val="right"/>
              <w:rPr/>
            </w:pPr>
            <w:r>
              <w:rPr/>
              <w:t>1,317,635</w:t>
            </w:r>
          </w:p>
        </w:tc>
        <w:tc>
          <w:tcPr>
            <w:tcW w:w="75" w:type="dxa"/>
            <w:tcBorders/>
            <w:shd w:fill="FFFFFF" w:val="clear"/>
            <w:vAlign w:val="center"/>
          </w:tcPr>
          <w:p>
            <w:pPr>
              <w:pStyle w:val="TableContents"/>
              <w:bidi w:val="0"/>
              <w:spacing w:before="0" w:after="283"/>
              <w:jc w:val="left"/>
              <w:rPr/>
            </w:pPr>
            <w:r>
              <w:rPr/>
              <w:t> </w:t>
            </w:r>
          </w:p>
        </w:tc>
      </w:tr>
      <w:tr>
        <w:trPr/>
        <w:tc>
          <w:tcPr>
            <w:tcW w:w="3560" w:type="dxa"/>
            <w:tcBorders/>
            <w:shd w:fill="CCEEFF" w:val="clear"/>
            <w:vAlign w:val="center"/>
          </w:tcPr>
          <w:p>
            <w:pPr>
              <w:pStyle w:val="TableContents"/>
              <w:bidi w:val="0"/>
              <w:spacing w:before="0" w:after="283"/>
              <w:jc w:val="left"/>
              <w:rPr/>
            </w:pPr>
            <w:r>
              <w:rPr/>
              <w:t>Identifiable net assets acquired</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4" w:type="dxa"/>
            <w:tcBorders>
              <w:bottom w:val="single" w:sz="8" w:space="0" w:color="000000"/>
            </w:tcBorders>
            <w:shd w:fill="CCEEFF" w:val="clear"/>
            <w:tcMar>
              <w:bottom w:w="28" w:type="dxa"/>
            </w:tcMar>
            <w:vAlign w:val="center"/>
          </w:tcPr>
          <w:p>
            <w:pPr>
              <w:pStyle w:val="TableContents"/>
              <w:bidi w:val="0"/>
              <w:spacing w:before="0" w:after="283"/>
              <w:jc w:val="right"/>
              <w:rPr/>
            </w:pPr>
            <w:r>
              <w:rPr/>
              <w:t>5,388,088</w:t>
            </w:r>
          </w:p>
        </w:tc>
        <w:tc>
          <w:tcPr>
            <w:tcW w:w="75" w:type="dxa"/>
            <w:tcBorders/>
            <w:shd w:fill="CCEEFF" w:val="clear"/>
            <w:vAlign w:val="center"/>
          </w:tcPr>
          <w:p>
            <w:pPr>
              <w:pStyle w:val="TableContents"/>
              <w:bidi w:val="0"/>
              <w:spacing w:before="0" w:after="283"/>
              <w:jc w:val="left"/>
              <w:rPr/>
            </w:pPr>
            <w:r>
              <w:rPr/>
              <w:t> </w:t>
            </w:r>
          </w:p>
        </w:tc>
      </w:tr>
      <w:tr>
        <w:trPr/>
        <w:tc>
          <w:tcPr>
            <w:tcW w:w="3560" w:type="dxa"/>
            <w:tcBorders/>
            <w:shd w:fill="FFFFFF" w:val="clear"/>
            <w:vAlign w:val="center"/>
          </w:tcPr>
          <w:p>
            <w:pPr>
              <w:pStyle w:val="TableContents"/>
              <w:bidi w:val="0"/>
              <w:spacing w:before="0" w:after="283"/>
              <w:jc w:val="left"/>
              <w:rPr/>
            </w:pPr>
            <w:r>
              <w:rPr/>
              <w:t>Goodwill</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4" w:type="dxa"/>
            <w:tcBorders>
              <w:bottom w:val="single" w:sz="8" w:space="0" w:color="000000"/>
            </w:tcBorders>
            <w:shd w:fill="FFFFFF" w:val="clear"/>
            <w:tcMar>
              <w:bottom w:w="28" w:type="dxa"/>
            </w:tcMar>
            <w:vAlign w:val="center"/>
          </w:tcPr>
          <w:p>
            <w:pPr>
              <w:pStyle w:val="TableContents"/>
              <w:bidi w:val="0"/>
              <w:spacing w:before="0" w:after="283"/>
              <w:jc w:val="right"/>
              <w:rPr/>
            </w:pPr>
            <w:r>
              <w:rPr/>
              <w:t>2,201,784</w:t>
            </w:r>
          </w:p>
        </w:tc>
        <w:tc>
          <w:tcPr>
            <w:tcW w:w="75" w:type="dxa"/>
            <w:tcBorders/>
            <w:shd w:fill="FFFFFF" w:val="clear"/>
            <w:vAlign w:val="center"/>
          </w:tcPr>
          <w:p>
            <w:pPr>
              <w:pStyle w:val="TableContents"/>
              <w:bidi w:val="0"/>
              <w:spacing w:before="0" w:after="283"/>
              <w:jc w:val="left"/>
              <w:rPr/>
            </w:pPr>
            <w:r>
              <w:rPr/>
              <w:t> </w:t>
            </w:r>
          </w:p>
        </w:tc>
      </w:tr>
      <w:tr>
        <w:trPr/>
        <w:tc>
          <w:tcPr>
            <w:tcW w:w="3560" w:type="dxa"/>
            <w:tcBorders/>
            <w:shd w:fill="CCEEFF" w:val="clear"/>
            <w:vAlign w:val="center"/>
          </w:tcPr>
          <w:p>
            <w:pPr>
              <w:pStyle w:val="TableContents"/>
              <w:bidi w:val="0"/>
              <w:spacing w:before="0" w:after="283"/>
              <w:jc w:val="left"/>
              <w:rPr/>
            </w:pPr>
            <w:r>
              <w:rPr/>
              <w:t>Total estimated purchase price</w:t>
            </w:r>
          </w:p>
        </w:tc>
        <w:tc>
          <w:tcPr>
            <w:tcW w:w="60" w:type="dxa"/>
            <w:tcBorders/>
            <w:shd w:fill="CCEEFF" w:val="clear"/>
            <w:vAlign w:val="center"/>
          </w:tcPr>
          <w:p>
            <w:pPr>
              <w:pStyle w:val="TableContents"/>
              <w:bidi w:val="0"/>
              <w:spacing w:before="0" w:after="283"/>
              <w:jc w:val="left"/>
              <w:rPr/>
            </w:pPr>
            <w:r>
              <w:rPr/>
              <w:t> </w:t>
            </w:r>
          </w:p>
        </w:tc>
        <w:tc>
          <w:tcPr>
            <w:tcW w:w="15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54" w:type="dxa"/>
            <w:tcBorders>
              <w:bottom w:val="double" w:sz="6" w:space="0" w:color="000000"/>
            </w:tcBorders>
            <w:shd w:fill="CCEEFF" w:val="clear"/>
            <w:tcMar>
              <w:bottom w:w="28" w:type="dxa"/>
            </w:tcMar>
            <w:vAlign w:val="center"/>
          </w:tcPr>
          <w:p>
            <w:pPr>
              <w:pStyle w:val="TableContents"/>
              <w:bidi w:val="0"/>
              <w:spacing w:before="0" w:after="283"/>
              <w:jc w:val="right"/>
              <w:rPr/>
            </w:pPr>
            <w:r>
              <w:rPr/>
              <w:t>7,589,872</w:t>
            </w:r>
          </w:p>
        </w:tc>
        <w:tc>
          <w:tcPr>
            <w:tcW w:w="75" w:type="dxa"/>
            <w:tcBorders/>
            <w:shd w:fill="CCEE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5 – Purchase Adjustments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Adjustments to the Unaudited Pro Forma Condensed Combined Balance Sheet as of June 30, 2026</w:t>
      </w:r>
    </w:p>
    <w:p>
      <w:pPr>
        <w:pStyle w:val="TextBody"/>
        <w:bidi w:val="0"/>
        <w:ind w:left="720" w:right="0" w:hanging="360"/>
        <w:jc w:val="both"/>
        <w:rPr>
          <w:caps w:val="false"/>
          <w:smallCaps w:val="false"/>
        </w:rPr>
      </w:pPr>
      <w:r>
        <w:rPr>
          <w:caps w:val="false"/>
          <w:smallCaps w:val="false"/>
        </w:rPr>
        <w:t> </w:t>
      </w:r>
    </w:p>
    <w:tbl>
      <w:tblPr>
        <w:tblW w:w="8470" w:type="dxa"/>
        <w:jc w:val="left"/>
        <w:tblInd w:w="0" w:type="dxa"/>
        <w:tblLayout w:type="fixed"/>
        <w:tblCellMar>
          <w:top w:w="0" w:type="dxa"/>
          <w:left w:w="0" w:type="dxa"/>
          <w:bottom w:w="0" w:type="dxa"/>
          <w:right w:w="0" w:type="dxa"/>
        </w:tblCellMar>
      </w:tblPr>
      <w:tblGrid>
        <w:gridCol w:w="75"/>
        <w:gridCol w:w="185"/>
        <w:gridCol w:w="8210"/>
      </w:tblGrid>
      <w:tr>
        <w:trPr/>
        <w:tc>
          <w:tcPr>
            <w:tcW w:w="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a.</w:t>
            </w:r>
          </w:p>
        </w:tc>
        <w:tc>
          <w:tcPr>
            <w:tcW w:w="8210" w:type="dxa"/>
            <w:tcBorders/>
            <w:vAlign w:val="center"/>
          </w:tcPr>
          <w:p>
            <w:pPr>
              <w:pStyle w:val="TableContents"/>
              <w:bidi w:val="0"/>
              <w:spacing w:before="0" w:after="283"/>
              <w:jc w:val="both"/>
              <w:rPr/>
            </w:pPr>
            <w:r>
              <w:rPr/>
              <w:t>Reflects the adjustments to Cash and cash equivalents for the following (in thousands):</w:t>
            </w:r>
          </w:p>
        </w:tc>
      </w:tr>
    </w:tbl>
    <w:p>
      <w:pPr>
        <w:pStyle w:val="TextBody"/>
        <w:bidi w:val="0"/>
        <w:ind w:left="720" w:right="0" w:hanging="0"/>
        <w:jc w:val="both"/>
        <w:rPr>
          <w:caps w:val="false"/>
          <w:smallCaps w:val="false"/>
        </w:rPr>
      </w:pPr>
      <w:r>
        <w:rPr>
          <w:caps w:val="false"/>
          <w:smallCaps w:val="false"/>
        </w:rPr>
        <w:t> </w:t>
      </w:r>
    </w:p>
    <w:tbl>
      <w:tblPr>
        <w:tblW w:w="4865" w:type="dxa"/>
        <w:jc w:val="left"/>
        <w:tblInd w:w="0" w:type="dxa"/>
        <w:tblLayout w:type="fixed"/>
        <w:tblCellMar>
          <w:top w:w="0" w:type="dxa"/>
          <w:left w:w="0" w:type="dxa"/>
          <w:bottom w:w="28" w:type="dxa"/>
          <w:right w:w="0" w:type="dxa"/>
        </w:tblCellMar>
      </w:tblPr>
      <w:tblGrid>
        <w:gridCol w:w="3500"/>
        <w:gridCol w:w="60"/>
        <w:gridCol w:w="140"/>
        <w:gridCol w:w="1055"/>
        <w:gridCol w:w="110"/>
      </w:tblGrid>
      <w:tr>
        <w:trPr/>
        <w:tc>
          <w:tcPr>
            <w:tcW w:w="3500" w:type="dxa"/>
            <w:tcBorders>
              <w:bottom w:val="single" w:sz="8" w:space="0" w:color="000000"/>
            </w:tcBorders>
            <w:vAlign w:val="center"/>
          </w:tcPr>
          <w:p>
            <w:pPr>
              <w:pStyle w:val="TableContents"/>
              <w:bidi w:val="0"/>
              <w:spacing w:before="0" w:after="283"/>
              <w:jc w:val="left"/>
              <w:rPr>
                <w:b/>
                <w:sz w:val="18"/>
              </w:rPr>
            </w:pPr>
            <w:r>
              <w:rPr>
                <w:b/>
                <w:sz w:val="18"/>
              </w:rPr>
              <w:t>Description</w:t>
            </w:r>
          </w:p>
        </w:tc>
        <w:tc>
          <w:tcPr>
            <w:tcW w:w="60" w:type="dxa"/>
            <w:tcBorders/>
            <w:tcMar>
              <w:bottom w:w="0" w:type="dxa"/>
            </w:tcMar>
            <w:vAlign w:val="center"/>
          </w:tcPr>
          <w:p>
            <w:pPr>
              <w:pStyle w:val="TableContents"/>
              <w:bidi w:val="0"/>
              <w:spacing w:before="0" w:after="283"/>
              <w:jc w:val="left"/>
              <w:rPr/>
            </w:pPr>
            <w:r>
              <w:rPr/>
              <w:t> </w:t>
            </w:r>
          </w:p>
        </w:tc>
        <w:tc>
          <w:tcPr>
            <w:tcW w:w="1195" w:type="dxa"/>
            <w:gridSpan w:val="2"/>
            <w:tcBorders>
              <w:bottom w:val="single" w:sz="8" w:space="0" w:color="000000"/>
            </w:tcBorders>
            <w:vAlign w:val="center"/>
          </w:tcPr>
          <w:p>
            <w:pPr>
              <w:pStyle w:val="TableContents"/>
              <w:bidi w:val="0"/>
              <w:spacing w:before="0" w:after="283"/>
              <w:jc w:val="center"/>
              <w:rPr>
                <w:b/>
                <w:sz w:val="18"/>
              </w:rPr>
            </w:pPr>
            <w:r>
              <w:rPr>
                <w:b/>
                <w:sz w:val="18"/>
              </w:rPr>
              <w:t>Amount</w:t>
            </w:r>
          </w:p>
        </w:tc>
        <w:tc>
          <w:tcPr>
            <w:tcW w:w="110" w:type="dxa"/>
            <w:tcBorders/>
            <w:tcMar>
              <w:bottom w:w="0" w:type="dxa"/>
            </w:tcMar>
            <w:vAlign w:val="center"/>
          </w:tcPr>
          <w:p>
            <w:pPr>
              <w:pStyle w:val="TableContents"/>
              <w:bidi w:val="0"/>
              <w:spacing w:before="0" w:after="283"/>
              <w:jc w:val="left"/>
              <w:rPr/>
            </w:pPr>
            <w:r>
              <w:rPr/>
              <w:t> </w:t>
            </w:r>
          </w:p>
        </w:tc>
      </w:tr>
      <w:tr>
        <w:trPr/>
        <w:tc>
          <w:tcPr>
            <w:tcW w:w="3500" w:type="dxa"/>
            <w:tcBorders/>
            <w:shd w:fill="CCEEFF" w:val="clear"/>
            <w:tcMar>
              <w:bottom w:w="0" w:type="dxa"/>
            </w:tcMar>
            <w:vAlign w:val="center"/>
          </w:tcPr>
          <w:p>
            <w:pPr>
              <w:pStyle w:val="TableContents"/>
              <w:bidi w:val="0"/>
              <w:spacing w:before="0" w:after="283"/>
              <w:jc w:val="left"/>
              <w:rPr/>
            </w:pPr>
            <w:r>
              <w:rPr/>
              <w:t>Cash Consideration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055" w:type="dxa"/>
            <w:tcBorders/>
            <w:shd w:fill="CCEEFF" w:val="clear"/>
            <w:tcMar>
              <w:bottom w:w="0" w:type="dxa"/>
            </w:tcMar>
            <w:vAlign w:val="center"/>
          </w:tcPr>
          <w:p>
            <w:pPr>
              <w:pStyle w:val="TableContents"/>
              <w:bidi w:val="0"/>
              <w:spacing w:before="0" w:after="283"/>
              <w:jc w:val="right"/>
              <w:rPr/>
            </w:pPr>
            <w:r>
              <w:rPr/>
              <w:t>(2,860,819</w:t>
            </w:r>
          </w:p>
        </w:tc>
        <w:tc>
          <w:tcPr>
            <w:tcW w:w="110" w:type="dxa"/>
            <w:tcBorders/>
            <w:shd w:fill="CCEEFF" w:val="clear"/>
            <w:tcMar>
              <w:bottom w:w="0" w:type="dxa"/>
            </w:tcMar>
            <w:vAlign w:val="center"/>
          </w:tcPr>
          <w:p>
            <w:pPr>
              <w:pStyle w:val="TableContents"/>
              <w:bidi w:val="0"/>
              <w:spacing w:before="0" w:after="283"/>
              <w:jc w:val="left"/>
              <w:rPr/>
            </w:pPr>
            <w:r>
              <w:rPr/>
              <w:t>)</w:t>
            </w:r>
          </w:p>
        </w:tc>
      </w:tr>
      <w:tr>
        <w:trPr/>
        <w:tc>
          <w:tcPr>
            <w:tcW w:w="3500" w:type="dxa"/>
            <w:tcBorders/>
            <w:shd w:fill="FFFFFF" w:val="clear"/>
            <w:tcMar>
              <w:bottom w:w="0" w:type="dxa"/>
            </w:tcMar>
            <w:vAlign w:val="center"/>
          </w:tcPr>
          <w:p>
            <w:pPr>
              <w:pStyle w:val="TableContents"/>
              <w:bidi w:val="0"/>
              <w:spacing w:before="0" w:after="283"/>
              <w:jc w:val="left"/>
              <w:rPr/>
            </w:pPr>
            <w:r>
              <w:rPr/>
              <w:t>Pay-off of Iridium’s existing debt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pPr>
            <w:r>
              <w:rPr/>
              <w:t>(1,774,721</w:t>
            </w:r>
          </w:p>
        </w:tc>
        <w:tc>
          <w:tcPr>
            <w:tcW w:w="110" w:type="dxa"/>
            <w:tcBorders/>
            <w:shd w:fill="FFFFFF" w:val="clear"/>
            <w:tcMar>
              <w:bottom w:w="0" w:type="dxa"/>
            </w:tcMar>
            <w:vAlign w:val="center"/>
          </w:tcPr>
          <w:p>
            <w:pPr>
              <w:pStyle w:val="TableContents"/>
              <w:bidi w:val="0"/>
              <w:spacing w:before="0" w:after="283"/>
              <w:jc w:val="left"/>
              <w:rPr/>
            </w:pPr>
            <w:r>
              <w:rPr/>
              <w:t>)</w:t>
            </w:r>
          </w:p>
        </w:tc>
      </w:tr>
      <w:tr>
        <w:trPr/>
        <w:tc>
          <w:tcPr>
            <w:tcW w:w="3500" w:type="dxa"/>
            <w:tcBorders/>
            <w:shd w:fill="CCEEFF" w:val="clear"/>
            <w:tcMar>
              <w:bottom w:w="0" w:type="dxa"/>
            </w:tcMar>
            <w:vAlign w:val="center"/>
          </w:tcPr>
          <w:p>
            <w:pPr>
              <w:pStyle w:val="TableContents"/>
              <w:bidi w:val="0"/>
              <w:spacing w:before="0" w:after="283"/>
              <w:jc w:val="left"/>
              <w:rPr/>
            </w:pPr>
            <w:r>
              <w:rPr/>
              <w:t>Equity issuance cost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pPr>
            <w:r>
              <w:rPr/>
              <w:t>(18,000</w:t>
            </w:r>
          </w:p>
        </w:tc>
        <w:tc>
          <w:tcPr>
            <w:tcW w:w="110" w:type="dxa"/>
            <w:tcBorders/>
            <w:shd w:fill="CCEEFF" w:val="clear"/>
            <w:tcMar>
              <w:bottom w:w="0" w:type="dxa"/>
            </w:tcMar>
            <w:vAlign w:val="center"/>
          </w:tcPr>
          <w:p>
            <w:pPr>
              <w:pStyle w:val="TableContents"/>
              <w:bidi w:val="0"/>
              <w:spacing w:before="0" w:after="283"/>
              <w:jc w:val="left"/>
              <w:rPr/>
            </w:pPr>
            <w:r>
              <w:rPr/>
              <w:t>)</w:t>
            </w:r>
          </w:p>
        </w:tc>
      </w:tr>
      <w:tr>
        <w:trPr/>
        <w:tc>
          <w:tcPr>
            <w:tcW w:w="3500" w:type="dxa"/>
            <w:tcBorders/>
            <w:shd w:fill="FFFFFF" w:val="clear"/>
            <w:tcMar>
              <w:bottom w:w="0" w:type="dxa"/>
            </w:tcMar>
            <w:vAlign w:val="center"/>
          </w:tcPr>
          <w:p>
            <w:pPr>
              <w:pStyle w:val="TableContents"/>
              <w:bidi w:val="0"/>
              <w:spacing w:before="0" w:after="283"/>
              <w:jc w:val="left"/>
              <w:rPr/>
            </w:pPr>
            <w:r>
              <w:rPr/>
              <w:t>Transaction costs paid at the Closing</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1055" w:type="dxa"/>
            <w:tcBorders>
              <w:bottom w:val="single" w:sz="8" w:space="0" w:color="000000"/>
            </w:tcBorders>
            <w:shd w:fill="FFFFFF" w:val="clear"/>
            <w:vAlign w:val="center"/>
          </w:tcPr>
          <w:p>
            <w:pPr>
              <w:pStyle w:val="TableContents"/>
              <w:bidi w:val="0"/>
              <w:spacing w:before="0" w:after="283"/>
              <w:jc w:val="right"/>
              <w:rPr/>
            </w:pPr>
            <w:r>
              <w:rPr/>
              <w:t>(229,236</w:t>
            </w:r>
          </w:p>
        </w:tc>
        <w:tc>
          <w:tcPr>
            <w:tcW w:w="110" w:type="dxa"/>
            <w:tcBorders/>
            <w:shd w:fill="FFFFFF" w:val="clear"/>
            <w:tcMar>
              <w:bottom w:w="0" w:type="dxa"/>
            </w:tcMar>
            <w:vAlign w:val="center"/>
          </w:tcPr>
          <w:p>
            <w:pPr>
              <w:pStyle w:val="TableContents"/>
              <w:bidi w:val="0"/>
              <w:spacing w:before="0" w:after="283"/>
              <w:jc w:val="left"/>
              <w:rPr/>
            </w:pPr>
            <w:r>
              <w:rPr/>
              <w:t>)</w:t>
            </w:r>
          </w:p>
        </w:tc>
      </w:tr>
      <w:tr>
        <w:trPr/>
        <w:tc>
          <w:tcPr>
            <w:tcW w:w="3500" w:type="dxa"/>
            <w:tcBorders/>
            <w:shd w:fill="CCEEFF" w:val="clear"/>
            <w:tcMar>
              <w:bottom w:w="0" w:type="dxa"/>
            </w:tcMar>
            <w:vAlign w:val="center"/>
          </w:tcPr>
          <w:p>
            <w:pPr>
              <w:pStyle w:val="TableContents"/>
              <w:bidi w:val="0"/>
              <w:spacing w:before="0" w:after="283"/>
              <w:jc w:val="left"/>
              <w:rPr>
                <w:b/>
              </w:rPr>
            </w:pPr>
            <w:r>
              <w:rPr>
                <w:b/>
              </w:rPr>
              <w:t>Total pro forma adjustment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CCEEFF" w:val="clear"/>
            <w:vAlign w:val="center"/>
          </w:tcPr>
          <w:p>
            <w:pPr>
              <w:pStyle w:val="TableContents"/>
              <w:bidi w:val="0"/>
              <w:spacing w:before="0" w:after="283"/>
              <w:jc w:val="left"/>
              <w:rPr/>
            </w:pPr>
            <w:r>
              <w:rPr/>
              <w:t>$</w:t>
            </w:r>
          </w:p>
        </w:tc>
        <w:tc>
          <w:tcPr>
            <w:tcW w:w="1055" w:type="dxa"/>
            <w:tcBorders>
              <w:bottom w:val="double" w:sz="6" w:space="0" w:color="000000"/>
            </w:tcBorders>
            <w:shd w:fill="CCEEFF" w:val="clear"/>
            <w:vAlign w:val="center"/>
          </w:tcPr>
          <w:p>
            <w:pPr>
              <w:pStyle w:val="TableContents"/>
              <w:bidi w:val="0"/>
              <w:spacing w:before="0" w:after="283"/>
              <w:jc w:val="right"/>
              <w:rPr/>
            </w:pPr>
            <w:r>
              <w:rPr/>
              <w:t>(4,882,776</w:t>
            </w:r>
          </w:p>
        </w:tc>
        <w:tc>
          <w:tcPr>
            <w:tcW w:w="110" w:type="dxa"/>
            <w:tcBorders/>
            <w:shd w:fill="CCEEFF" w:val="clear"/>
            <w:tcMar>
              <w:bottom w:w="0" w:type="dxa"/>
            </w:tcMar>
            <w:vAlign w:val="center"/>
          </w:tcPr>
          <w:p>
            <w:pPr>
              <w:pStyle w:val="TableContents"/>
              <w:bidi w:val="0"/>
              <w:spacing w:before="0" w:after="283"/>
              <w:jc w:val="left"/>
              <w:rPr/>
            </w:pPr>
            <w:r>
              <w:rPr/>
              <w:t>)</w:t>
            </w:r>
          </w:p>
        </w:tc>
      </w:tr>
    </w:tbl>
    <w:p>
      <w:pPr>
        <w:pStyle w:val="TextBody"/>
        <w:bidi w:val="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0"/>
        <w:gridCol w:w="993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b.</w:t>
            </w:r>
          </w:p>
        </w:tc>
        <w:tc>
          <w:tcPr>
            <w:tcW w:w="9930" w:type="dxa"/>
            <w:tcBorders/>
            <w:vAlign w:val="center"/>
          </w:tcPr>
          <w:p>
            <w:pPr>
              <w:pStyle w:val="TableContents"/>
              <w:bidi w:val="0"/>
              <w:spacing w:before="0" w:after="283"/>
              <w:jc w:val="both"/>
              <w:rPr/>
            </w:pPr>
            <w:r>
              <w:rPr/>
              <w:t>Reflects transaction costs accrued and unpaid as of June 30, 2026, consisting of $11,292 recorded in Trade payables, $18,661 recorded in Accrued expenses, $211,883 of projected transaction costs in Accumulated deficit, and $12,600 in Prepaids and other current assets representing commitment fees related to the Bridge Facility.</w:t>
            </w:r>
          </w:p>
        </w:tc>
      </w:tr>
    </w:tbl>
    <w:p>
      <w:pPr>
        <w:pStyle w:val="TextBody"/>
        <w:bidi w:val="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85"/>
        <w:gridCol w:w="9945"/>
      </w:tblGrid>
      <w:tr>
        <w:trPr/>
        <w:tc>
          <w:tcPr>
            <w:tcW w:w="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c.</w:t>
            </w:r>
          </w:p>
        </w:tc>
        <w:tc>
          <w:tcPr>
            <w:tcW w:w="9945" w:type="dxa"/>
            <w:tcBorders/>
            <w:vAlign w:val="center"/>
          </w:tcPr>
          <w:p>
            <w:pPr>
              <w:pStyle w:val="TableContents"/>
              <w:bidi w:val="0"/>
              <w:spacing w:before="0" w:after="0"/>
              <w:ind w:left="0" w:right="0" w:hanging="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Property, plant and equipment of Iridium, consisting primarily of its operational satellite constellation and ground infrastructure. Management considered the operational status of the constellation, recent technical assessments, the specialized nature of the assets, and a replacement cost analysis to determine a preliminary range of fair value of these assets. The recorded balance represents a point within that range. Amounts are subject to change upon completion of the valuation. The adjustment represents the portion of the stock-based compensation adjustment related to converted equity awards that is capitalized to PPE. See adjustment (j) for additional information regarding the related stock-based compensation expense recognized in the unaudited pro forma consolidated statement of operations.</w:t>
            </w:r>
          </w:p>
        </w:tc>
      </w:tr>
    </w:tbl>
    <w:p>
      <w:pPr>
        <w:pStyle w:val="TextBody"/>
        <w:bidi w:val="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0"/>
        <w:gridCol w:w="993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d.</w:t>
            </w:r>
          </w:p>
        </w:tc>
        <w:tc>
          <w:tcPr>
            <w:tcW w:w="9930" w:type="dxa"/>
            <w:tcBorders/>
            <w:vAlign w:val="center"/>
          </w:tcPr>
          <w:p>
            <w:pPr>
              <w:pStyle w:val="TableContents"/>
              <w:bidi w:val="0"/>
              <w:spacing w:before="0" w:after="283"/>
              <w:jc w:val="both"/>
              <w:rPr/>
            </w:pPr>
            <w:r>
              <w:rPr/>
              <w:t>Reflects the adjustment of $4,246,672 for Intangible assets, net to equal preliminary fair value of $4,329,338.</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14</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85"/>
        <w:gridCol w:w="9945"/>
      </w:tblGrid>
      <w:tr>
        <w:trPr/>
        <w:tc>
          <w:tcPr>
            <w:tcW w:w="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e.</w:t>
            </w:r>
          </w:p>
        </w:tc>
        <w:tc>
          <w:tcPr>
            <w:tcW w:w="9945" w:type="dxa"/>
            <w:tcBorders/>
            <w:vAlign w:val="center"/>
          </w:tcPr>
          <w:p>
            <w:pPr>
              <w:pStyle w:val="TableContents"/>
              <w:bidi w:val="0"/>
              <w:spacing w:before="0" w:after="283"/>
              <w:jc w:val="both"/>
              <w:rPr/>
            </w:pPr>
            <w:r>
              <w:rPr/>
              <w:t>Represents the recognition of preliminary goodwill associated with the Purchase. Goodwill represents the total preliminary estimated Merger Consideration in excess of the fair value of the underlying net assets.</w:t>
            </w:r>
          </w:p>
        </w:tc>
      </w:tr>
    </w:tbl>
    <w:p>
      <w:pPr>
        <w:pStyle w:val="TextBody"/>
        <w:bidi w:val="0"/>
        <w:ind w:left="720" w:right="0" w:hanging="360"/>
        <w:jc w:val="both"/>
        <w:rPr>
          <w:caps w:val="false"/>
          <w:smallCaps w:val="false"/>
        </w:rPr>
      </w:pPr>
      <w:r>
        <w:rPr>
          <w:caps w:val="false"/>
          <w:smallCaps w:val="false"/>
        </w:rPr>
        <w:t> </w:t>
      </w:r>
    </w:p>
    <w:tbl>
      <w:tblPr>
        <w:tblW w:w="5640" w:type="dxa"/>
        <w:jc w:val="left"/>
        <w:tblInd w:w="0" w:type="dxa"/>
        <w:tblLayout w:type="fixed"/>
        <w:tblCellMar>
          <w:top w:w="0" w:type="dxa"/>
          <w:left w:w="0" w:type="dxa"/>
          <w:bottom w:w="0" w:type="dxa"/>
          <w:right w:w="0" w:type="dxa"/>
        </w:tblCellMar>
      </w:tblPr>
      <w:tblGrid>
        <w:gridCol w:w="3950"/>
        <w:gridCol w:w="60"/>
        <w:gridCol w:w="190"/>
        <w:gridCol w:w="1330"/>
        <w:gridCol w:w="110"/>
      </w:tblGrid>
      <w:tr>
        <w:trPr/>
        <w:tc>
          <w:tcPr>
            <w:tcW w:w="39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20" w:type="dxa"/>
            <w:gridSpan w:val="2"/>
            <w:tcBorders>
              <w:bottom w:val="single" w:sz="8" w:space="0" w:color="000000"/>
            </w:tcBorders>
            <w:tcMar>
              <w:bottom w:w="28" w:type="dxa"/>
            </w:tcMar>
            <w:vAlign w:val="center"/>
          </w:tcPr>
          <w:p>
            <w:pPr>
              <w:pStyle w:val="TableContents"/>
              <w:bidi w:val="0"/>
              <w:spacing w:before="0" w:after="283"/>
              <w:jc w:val="center"/>
              <w:rPr>
                <w:b/>
                <w:sz w:val="18"/>
              </w:rPr>
            </w:pPr>
            <w:r>
              <w:rPr>
                <w:b/>
                <w:sz w:val="18"/>
              </w:rPr>
              <w:t>As of June 30, 2026</w:t>
            </w:r>
          </w:p>
        </w:tc>
        <w:tc>
          <w:tcPr>
            <w:tcW w:w="110" w:type="dxa"/>
            <w:tcBorders/>
            <w:vAlign w:val="center"/>
          </w:tcPr>
          <w:p>
            <w:pPr>
              <w:pStyle w:val="TableContents"/>
              <w:bidi w:val="0"/>
              <w:spacing w:before="0" w:after="283"/>
              <w:jc w:val="left"/>
              <w:rPr/>
            </w:pPr>
            <w:r>
              <w:rPr/>
              <w:t> </w:t>
            </w:r>
          </w:p>
        </w:tc>
      </w:tr>
      <w:tr>
        <w:trPr/>
        <w:tc>
          <w:tcPr>
            <w:tcW w:w="3950" w:type="dxa"/>
            <w:tcBorders/>
            <w:shd w:fill="CCEEFF" w:val="clear"/>
            <w:vAlign w:val="center"/>
          </w:tcPr>
          <w:p>
            <w:pPr>
              <w:pStyle w:val="TableContents"/>
              <w:bidi w:val="0"/>
              <w:spacing w:before="0" w:after="283"/>
              <w:jc w:val="left"/>
              <w:rPr/>
            </w:pPr>
            <w:r>
              <w:rPr/>
              <w:t>Estimated goodwill</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w:t>
            </w:r>
          </w:p>
        </w:tc>
        <w:tc>
          <w:tcPr>
            <w:tcW w:w="1330" w:type="dxa"/>
            <w:tcBorders/>
            <w:shd w:fill="CCEEFF" w:val="clear"/>
            <w:vAlign w:val="center"/>
          </w:tcPr>
          <w:p>
            <w:pPr>
              <w:pStyle w:val="TableContents"/>
              <w:bidi w:val="0"/>
              <w:spacing w:before="0" w:after="283"/>
              <w:jc w:val="right"/>
              <w:rPr/>
            </w:pPr>
            <w:r>
              <w:rPr/>
              <w:t>2,201,784</w:t>
            </w:r>
          </w:p>
        </w:tc>
        <w:tc>
          <w:tcPr>
            <w:tcW w:w="110" w:type="dxa"/>
            <w:tcBorders/>
            <w:shd w:fill="CCEEFF" w:val="clear"/>
            <w:vAlign w:val="center"/>
          </w:tcPr>
          <w:p>
            <w:pPr>
              <w:pStyle w:val="TableContents"/>
              <w:bidi w:val="0"/>
              <w:spacing w:before="0" w:after="283"/>
              <w:jc w:val="left"/>
              <w:rPr/>
            </w:pPr>
            <w:r>
              <w:rPr/>
              <w:t> </w:t>
            </w:r>
          </w:p>
        </w:tc>
      </w:tr>
      <w:tr>
        <w:trPr/>
        <w:tc>
          <w:tcPr>
            <w:tcW w:w="3950" w:type="dxa"/>
            <w:tcBorders/>
            <w:shd w:fill="FFFFFF" w:val="clear"/>
            <w:vAlign w:val="center"/>
          </w:tcPr>
          <w:p>
            <w:pPr>
              <w:pStyle w:val="TableContents"/>
              <w:bidi w:val="0"/>
              <w:spacing w:before="0" w:after="283"/>
              <w:jc w:val="left"/>
              <w:rPr/>
            </w:pPr>
            <w:r>
              <w:rPr/>
              <w:t>Elimination of Iridium historical goodwill</w:t>
            </w:r>
          </w:p>
        </w:tc>
        <w:tc>
          <w:tcPr>
            <w:tcW w:w="60" w:type="dxa"/>
            <w:tcBorders/>
            <w:shd w:fill="FFFFFF" w:val="clear"/>
            <w:vAlign w:val="center"/>
          </w:tcPr>
          <w:p>
            <w:pPr>
              <w:pStyle w:val="TableContents"/>
              <w:bidi w:val="0"/>
              <w:spacing w:before="0" w:after="283"/>
              <w:jc w:val="left"/>
              <w:rPr/>
            </w:pPr>
            <w:r>
              <w:rPr/>
              <w:t> </w:t>
            </w:r>
          </w:p>
        </w:tc>
        <w:tc>
          <w:tcPr>
            <w:tcW w:w="19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30" w:type="dxa"/>
            <w:tcBorders>
              <w:bottom w:val="single" w:sz="8" w:space="0" w:color="000000"/>
            </w:tcBorders>
            <w:shd w:fill="FFFFFF" w:val="clear"/>
            <w:tcMar>
              <w:bottom w:w="28" w:type="dxa"/>
            </w:tcMar>
            <w:vAlign w:val="center"/>
          </w:tcPr>
          <w:p>
            <w:pPr>
              <w:pStyle w:val="TableContents"/>
              <w:bidi w:val="0"/>
              <w:spacing w:before="0" w:after="283"/>
              <w:jc w:val="right"/>
              <w:rPr/>
            </w:pPr>
            <w:r>
              <w:rPr/>
              <w:t>(98,942</w:t>
            </w:r>
          </w:p>
        </w:tc>
        <w:tc>
          <w:tcPr>
            <w:tcW w:w="110" w:type="dxa"/>
            <w:tcBorders/>
            <w:shd w:fill="FFFFFF" w:val="clear"/>
            <w:vAlign w:val="center"/>
          </w:tcPr>
          <w:p>
            <w:pPr>
              <w:pStyle w:val="TableContents"/>
              <w:bidi w:val="0"/>
              <w:spacing w:before="0" w:after="283"/>
              <w:jc w:val="left"/>
              <w:rPr/>
            </w:pPr>
            <w:r>
              <w:rPr/>
              <w:t>)</w:t>
            </w:r>
          </w:p>
        </w:tc>
      </w:tr>
      <w:tr>
        <w:trPr/>
        <w:tc>
          <w:tcPr>
            <w:tcW w:w="3950" w:type="dxa"/>
            <w:tcBorders/>
            <w:shd w:fill="CCEEFF" w:val="clear"/>
            <w:vAlign w:val="center"/>
          </w:tcPr>
          <w:p>
            <w:pPr>
              <w:pStyle w:val="TableContents"/>
              <w:bidi w:val="0"/>
              <w:spacing w:before="0" w:after="283"/>
              <w:jc w:val="left"/>
              <w:rPr>
                <w:b/>
              </w:rPr>
            </w:pPr>
            <w:r>
              <w:rPr>
                <w:b/>
              </w:rPr>
              <w:t>Net adjustment to goodwill</w:t>
            </w:r>
          </w:p>
        </w:tc>
        <w:tc>
          <w:tcPr>
            <w:tcW w:w="60" w:type="dxa"/>
            <w:tcBorders/>
            <w:shd w:fill="CCEEFF" w:val="clear"/>
            <w:vAlign w:val="center"/>
          </w:tcPr>
          <w:p>
            <w:pPr>
              <w:pStyle w:val="TableContents"/>
              <w:bidi w:val="0"/>
              <w:spacing w:before="0" w:after="283"/>
              <w:jc w:val="left"/>
              <w:rPr/>
            </w:pPr>
            <w:r>
              <w:rPr/>
              <w:t> </w:t>
            </w:r>
          </w:p>
        </w:tc>
        <w:tc>
          <w:tcPr>
            <w:tcW w:w="19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30" w:type="dxa"/>
            <w:tcBorders>
              <w:bottom w:val="double" w:sz="6" w:space="0" w:color="000000"/>
            </w:tcBorders>
            <w:shd w:fill="CCEEFF" w:val="clear"/>
            <w:tcMar>
              <w:bottom w:w="28" w:type="dxa"/>
            </w:tcMar>
            <w:vAlign w:val="center"/>
          </w:tcPr>
          <w:p>
            <w:pPr>
              <w:pStyle w:val="TableContents"/>
              <w:bidi w:val="0"/>
              <w:spacing w:before="0" w:after="283"/>
              <w:jc w:val="right"/>
              <w:rPr/>
            </w:pPr>
            <w:r>
              <w:rPr/>
              <w:t>2,102,842</w:t>
            </w:r>
          </w:p>
        </w:tc>
        <w:tc>
          <w:tcPr>
            <w:tcW w:w="110" w:type="dxa"/>
            <w:tcBorders/>
            <w:shd w:fill="CCEEFF" w:val="clear"/>
            <w:vAlign w:val="center"/>
          </w:tcPr>
          <w:p>
            <w:pPr>
              <w:pStyle w:val="TableContents"/>
              <w:bidi w:val="0"/>
              <w:spacing w:before="0" w:after="283"/>
              <w:jc w:val="left"/>
              <w:rPr/>
            </w:pPr>
            <w:r>
              <w:rPr/>
              <w:t> </w:t>
            </w:r>
          </w:p>
        </w:tc>
      </w:tr>
    </w:tbl>
    <w:p>
      <w:pPr>
        <w:pStyle w:val="TextBody"/>
        <w:bidi w:val="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5"/>
        <w:gridCol w:w="9975"/>
      </w:tblGrid>
      <w:tr>
        <w:trPr/>
        <w:tc>
          <w:tcPr>
            <w:tcW w:w="7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f.</w:t>
            </w:r>
          </w:p>
        </w:tc>
        <w:tc>
          <w:tcPr>
            <w:tcW w:w="9975" w:type="dxa"/>
            <w:tcBorders/>
            <w:vAlign w:val="center"/>
          </w:tcPr>
          <w:p>
            <w:pPr>
              <w:pStyle w:val="TableContents"/>
              <w:bidi w:val="0"/>
              <w:spacing w:before="0" w:after="283"/>
              <w:jc w:val="both"/>
              <w:rPr/>
            </w:pPr>
            <w:r>
              <w:rPr/>
              <w:t>Reflects the payoff of Iridium’s outstanding debt obligations in connection with the Mergers, including the elimination of the related debt balances and associated hedging assets and liabilities. The table below summarizes the impacted accounts included in the adjustment.</w:t>
            </w:r>
          </w:p>
        </w:tc>
      </w:tr>
    </w:tbl>
    <w:p>
      <w:pPr>
        <w:pStyle w:val="TextBody"/>
        <w:bidi w:val="0"/>
        <w:ind w:left="720" w:right="0" w:hanging="360"/>
        <w:jc w:val="both"/>
        <w:rPr>
          <w:caps w:val="false"/>
          <w:smallCaps w:val="false"/>
        </w:rPr>
      </w:pPr>
      <w:r>
        <w:rPr>
          <w:caps w:val="false"/>
          <w:smallCaps w:val="false"/>
        </w:rPr>
        <w:t> </w:t>
      </w:r>
    </w:p>
    <w:tbl>
      <w:tblPr>
        <w:tblW w:w="7120" w:type="dxa"/>
        <w:jc w:val="left"/>
        <w:tblInd w:w="0" w:type="dxa"/>
        <w:tblLayout w:type="fixed"/>
        <w:tblCellMar>
          <w:top w:w="0" w:type="dxa"/>
          <w:left w:w="0" w:type="dxa"/>
          <w:bottom w:w="0" w:type="dxa"/>
          <w:right w:w="0" w:type="dxa"/>
        </w:tblCellMar>
      </w:tblPr>
      <w:tblGrid>
        <w:gridCol w:w="5465"/>
        <w:gridCol w:w="60"/>
        <w:gridCol w:w="190"/>
        <w:gridCol w:w="1330"/>
        <w:gridCol w:w="75"/>
      </w:tblGrid>
      <w:tr>
        <w:trPr/>
        <w:tc>
          <w:tcPr>
            <w:tcW w:w="54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20" w:type="dxa"/>
            <w:gridSpan w:val="2"/>
            <w:tcBorders>
              <w:bottom w:val="single" w:sz="8" w:space="0" w:color="000000"/>
            </w:tcBorders>
            <w:tcMar>
              <w:bottom w:w="28" w:type="dxa"/>
            </w:tcMar>
            <w:vAlign w:val="center"/>
          </w:tcPr>
          <w:p>
            <w:pPr>
              <w:pStyle w:val="TableContents"/>
              <w:bidi w:val="0"/>
              <w:spacing w:before="0" w:after="283"/>
              <w:jc w:val="center"/>
              <w:rPr>
                <w:b/>
                <w:sz w:val="18"/>
              </w:rPr>
            </w:pPr>
            <w:r>
              <w:rPr>
                <w:b/>
                <w:sz w:val="18"/>
              </w:rPr>
              <w:t>As of June 30, 2026</w:t>
            </w:r>
          </w:p>
        </w:tc>
        <w:tc>
          <w:tcPr>
            <w:tcW w:w="75" w:type="dxa"/>
            <w:tcBorders/>
            <w:vAlign w:val="center"/>
          </w:tcPr>
          <w:p>
            <w:pPr>
              <w:pStyle w:val="TableContents"/>
              <w:bidi w:val="0"/>
              <w:spacing w:before="0" w:after="283"/>
              <w:jc w:val="left"/>
              <w:rPr/>
            </w:pPr>
            <w:r>
              <w:rPr/>
              <w:t> </w:t>
            </w:r>
          </w:p>
        </w:tc>
      </w:tr>
      <w:tr>
        <w:trPr/>
        <w:tc>
          <w:tcPr>
            <w:tcW w:w="5465" w:type="dxa"/>
            <w:tcBorders/>
            <w:shd w:fill="CCEEFF" w:val="clear"/>
            <w:vAlign w:val="center"/>
          </w:tcPr>
          <w:p>
            <w:pPr>
              <w:pStyle w:val="TableContents"/>
              <w:bidi w:val="0"/>
              <w:spacing w:before="0" w:after="283"/>
              <w:jc w:val="left"/>
              <w:rPr/>
            </w:pPr>
            <w:r>
              <w:rPr/>
              <w:t>Other non-current assets</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w:t>
            </w:r>
          </w:p>
        </w:tc>
        <w:tc>
          <w:tcPr>
            <w:tcW w:w="1330" w:type="dxa"/>
            <w:tcBorders/>
            <w:shd w:fill="CCEEFF" w:val="clear"/>
            <w:vAlign w:val="center"/>
          </w:tcPr>
          <w:p>
            <w:pPr>
              <w:pStyle w:val="TableContents"/>
              <w:bidi w:val="0"/>
              <w:spacing w:before="0" w:after="283"/>
              <w:jc w:val="right"/>
              <w:rPr/>
            </w:pPr>
            <w:r>
              <w:rPr/>
              <w:t>7,100</w:t>
            </w:r>
          </w:p>
        </w:tc>
        <w:tc>
          <w:tcPr>
            <w:tcW w:w="75" w:type="dxa"/>
            <w:tcBorders/>
            <w:shd w:fill="CCEEFF" w:val="clear"/>
            <w:vAlign w:val="center"/>
          </w:tcPr>
          <w:p>
            <w:pPr>
              <w:pStyle w:val="TableContents"/>
              <w:bidi w:val="0"/>
              <w:spacing w:before="0" w:after="283"/>
              <w:jc w:val="left"/>
              <w:rPr/>
            </w:pPr>
            <w:r>
              <w:rPr/>
              <w:t> </w:t>
            </w:r>
          </w:p>
        </w:tc>
      </w:tr>
      <w:tr>
        <w:trPr/>
        <w:tc>
          <w:tcPr>
            <w:tcW w:w="5465" w:type="dxa"/>
            <w:tcBorders/>
            <w:shd w:fill="FFFFFF" w:val="clear"/>
            <w:vAlign w:val="center"/>
          </w:tcPr>
          <w:p>
            <w:pPr>
              <w:pStyle w:val="TableContents"/>
              <w:bidi w:val="0"/>
              <w:spacing w:before="0" w:after="283"/>
              <w:jc w:val="left"/>
              <w:rPr/>
            </w:pPr>
            <w:r>
              <w:rPr/>
              <w:t>Current installments of long-term borrowings</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1330" w:type="dxa"/>
            <w:tcBorders/>
            <w:shd w:fill="FFFFFF" w:val="clear"/>
            <w:vAlign w:val="center"/>
          </w:tcPr>
          <w:p>
            <w:pPr>
              <w:pStyle w:val="TableContents"/>
              <w:bidi w:val="0"/>
              <w:spacing w:before="0" w:after="283"/>
              <w:jc w:val="right"/>
              <w:rPr/>
            </w:pPr>
            <w:r>
              <w:rPr/>
              <w:t>12,532</w:t>
            </w:r>
          </w:p>
        </w:tc>
        <w:tc>
          <w:tcPr>
            <w:tcW w:w="75" w:type="dxa"/>
            <w:tcBorders/>
            <w:shd w:fill="FFFFFF" w:val="clear"/>
            <w:vAlign w:val="center"/>
          </w:tcPr>
          <w:p>
            <w:pPr>
              <w:pStyle w:val="TableContents"/>
              <w:bidi w:val="0"/>
              <w:spacing w:before="0" w:after="283"/>
              <w:jc w:val="left"/>
              <w:rPr/>
            </w:pPr>
            <w:r>
              <w:rPr/>
              <w:t> </w:t>
            </w:r>
          </w:p>
        </w:tc>
      </w:tr>
      <w:tr>
        <w:trPr/>
        <w:tc>
          <w:tcPr>
            <w:tcW w:w="5465" w:type="dxa"/>
            <w:tcBorders/>
            <w:shd w:fill="CCEEFF" w:val="clear"/>
            <w:vAlign w:val="center"/>
          </w:tcPr>
          <w:p>
            <w:pPr>
              <w:pStyle w:val="TableContents"/>
              <w:bidi w:val="0"/>
              <w:spacing w:before="0" w:after="283"/>
              <w:jc w:val="left"/>
              <w:rPr/>
            </w:pPr>
            <w:r>
              <w:rPr/>
              <w:t>Long-term borrowings, net excluding current installments</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1330" w:type="dxa"/>
            <w:tcBorders/>
            <w:shd w:fill="CCEEFF" w:val="clear"/>
            <w:vAlign w:val="center"/>
          </w:tcPr>
          <w:p>
            <w:pPr>
              <w:pStyle w:val="TableContents"/>
              <w:bidi w:val="0"/>
              <w:spacing w:before="0" w:after="283"/>
              <w:jc w:val="right"/>
              <w:rPr/>
            </w:pPr>
            <w:r>
              <w:rPr/>
              <w:t>1,749,342</w:t>
            </w:r>
          </w:p>
        </w:tc>
        <w:tc>
          <w:tcPr>
            <w:tcW w:w="75" w:type="dxa"/>
            <w:tcBorders/>
            <w:shd w:fill="CCEEFF" w:val="clear"/>
            <w:vAlign w:val="center"/>
          </w:tcPr>
          <w:p>
            <w:pPr>
              <w:pStyle w:val="TableContents"/>
              <w:bidi w:val="0"/>
              <w:spacing w:before="0" w:after="283"/>
              <w:jc w:val="left"/>
              <w:rPr/>
            </w:pPr>
            <w:r>
              <w:rPr/>
              <w:t> </w:t>
            </w:r>
          </w:p>
        </w:tc>
      </w:tr>
    </w:tbl>
    <w:p>
      <w:pPr>
        <w:pStyle w:val="TextBody"/>
        <w:bidi w:val="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0"/>
        <w:gridCol w:w="993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g.</w:t>
            </w:r>
          </w:p>
        </w:tc>
        <w:tc>
          <w:tcPr>
            <w:tcW w:w="9930" w:type="dxa"/>
            <w:tcBorders/>
            <w:vAlign w:val="center"/>
          </w:tcPr>
          <w:p>
            <w:pPr>
              <w:pStyle w:val="TableContents"/>
              <w:bidi w:val="0"/>
              <w:spacing w:before="0" w:after="283"/>
              <w:jc w:val="both"/>
              <w:rPr/>
            </w:pPr>
            <w:r>
              <w:rPr/>
              <w:t>Reflects the adjustment of $986,927 to Deferred tax liabilities arising from purchase adjustments which was calculated using a blended 23.24% U.S. federal, state, and local statutory tax rate, net of federal tax benefit, multiplied by the fair value adjustments made to assets acquired and liabilities assumed, excluding goodwill, net of the $313,719 adjustment for the release of Rocket Lab valuation allowances.</w:t>
            </w:r>
          </w:p>
        </w:tc>
      </w:tr>
    </w:tbl>
    <w:p>
      <w:pPr>
        <w:pStyle w:val="TextBody"/>
        <w:bidi w:val="0"/>
        <w:ind w:left="720" w:right="0" w:hanging="360"/>
        <w:jc w:val="both"/>
        <w:rPr>
          <w:caps w:val="false"/>
          <w:smallCaps w:val="false"/>
        </w:rPr>
      </w:pPr>
      <w:r>
        <w:rPr>
          <w:caps w:val="false"/>
          <w:smallCaps w:val="false"/>
        </w:rPr>
        <w:t> </w:t>
      </w:r>
    </w:p>
    <w:tbl>
      <w:tblPr>
        <w:tblW w:w="8275" w:type="dxa"/>
        <w:jc w:val="left"/>
        <w:tblInd w:w="0" w:type="dxa"/>
        <w:tblLayout w:type="fixed"/>
        <w:tblCellMar>
          <w:top w:w="0" w:type="dxa"/>
          <w:left w:w="0" w:type="dxa"/>
          <w:bottom w:w="0" w:type="dxa"/>
          <w:right w:w="0" w:type="dxa"/>
        </w:tblCellMar>
      </w:tblPr>
      <w:tblGrid>
        <w:gridCol w:w="75"/>
        <w:gridCol w:w="200"/>
        <w:gridCol w:w="800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h.</w:t>
            </w:r>
          </w:p>
        </w:tc>
        <w:tc>
          <w:tcPr>
            <w:tcW w:w="8000" w:type="dxa"/>
            <w:tcBorders/>
            <w:vAlign w:val="center"/>
          </w:tcPr>
          <w:p>
            <w:pPr>
              <w:pStyle w:val="TableContents"/>
              <w:bidi w:val="0"/>
              <w:spacing w:before="0" w:after="283"/>
              <w:jc w:val="both"/>
              <w:rPr/>
            </w:pPr>
            <w:r>
              <w:rPr/>
              <w:t>The following table summarizes the pro forma adjustments for equity (in thousands):</w:t>
            </w:r>
          </w:p>
        </w:tc>
      </w:tr>
    </w:tbl>
    <w:p>
      <w:pPr>
        <w:pStyle w:val="TextBody"/>
        <w:bidi w:val="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685"/>
        <w:gridCol w:w="60"/>
        <w:gridCol w:w="259"/>
        <w:gridCol w:w="481"/>
        <w:gridCol w:w="60"/>
        <w:gridCol w:w="60"/>
        <w:gridCol w:w="148"/>
        <w:gridCol w:w="592"/>
        <w:gridCol w:w="95"/>
        <w:gridCol w:w="60"/>
        <w:gridCol w:w="140"/>
        <w:gridCol w:w="980"/>
        <w:gridCol w:w="95"/>
        <w:gridCol w:w="60"/>
        <w:gridCol w:w="232"/>
        <w:gridCol w:w="928"/>
        <w:gridCol w:w="60"/>
        <w:gridCol w:w="60"/>
        <w:gridCol w:w="143"/>
        <w:gridCol w:w="897"/>
        <w:gridCol w:w="110"/>
      </w:tblGrid>
      <w:tr>
        <w:trPr/>
        <w:tc>
          <w:tcPr>
            <w:tcW w:w="46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Preferred</w:t>
            </w:r>
          </w:p>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Common</w:t>
            </w:r>
          </w:p>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Stock</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Additional</w:t>
            </w:r>
          </w:p>
          <w:p>
            <w:pPr>
              <w:pStyle w:val="TableContents"/>
              <w:bidi w:val="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paid-in</w:t>
            </w:r>
          </w:p>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capital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Accumulated</w:t>
            </w:r>
          </w:p>
          <w:p>
            <w:pPr>
              <w:pStyle w:val="TableContents"/>
              <w:bidi w:val="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other</w:t>
            </w:r>
          </w:p>
          <w:p>
            <w:pPr>
              <w:pStyle w:val="TableContents"/>
              <w:bidi w:val="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comprehensive</w:t>
            </w:r>
          </w:p>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loss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Accumulated</w:t>
            </w:r>
          </w:p>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deficit</w:t>
            </w:r>
          </w:p>
        </w:tc>
        <w:tc>
          <w:tcPr>
            <w:tcW w:w="110" w:type="dxa"/>
            <w:tcBorders/>
            <w:vAlign w:val="center"/>
          </w:tcPr>
          <w:p>
            <w:pPr>
              <w:pStyle w:val="TableContents"/>
              <w:bidi w:val="0"/>
              <w:spacing w:before="0" w:after="283"/>
              <w:jc w:val="left"/>
              <w:rPr/>
            </w:pPr>
            <w:r>
              <w:rPr/>
              <w:t> </w:t>
            </w:r>
          </w:p>
        </w:tc>
      </w:tr>
      <w:tr>
        <w:trPr/>
        <w:tc>
          <w:tcPr>
            <w:tcW w:w="4685" w:type="dxa"/>
            <w:tcBorders/>
            <w:shd w:fill="CCEEFF" w:val="clear"/>
            <w:vAlign w:val="center"/>
          </w:tcPr>
          <w:p>
            <w:pPr>
              <w:pStyle w:val="TableContents"/>
              <w:bidi w:val="0"/>
              <w:spacing w:before="0" w:after="283"/>
              <w:jc w:val="left"/>
              <w:rPr/>
            </w:pPr>
            <w:r>
              <w:rPr/>
              <w:t>Elimination of Iridium’s historical equity balances</w:t>
            </w:r>
          </w:p>
        </w:tc>
        <w:tc>
          <w:tcPr>
            <w:tcW w:w="6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pPr>
            <w:r>
              <w:rPr/>
              <w:t>$</w:t>
            </w:r>
          </w:p>
        </w:tc>
        <w:tc>
          <w:tcPr>
            <w:tcW w:w="48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w:t>
            </w:r>
          </w:p>
        </w:tc>
        <w:tc>
          <w:tcPr>
            <w:tcW w:w="592" w:type="dxa"/>
            <w:tcBorders/>
            <w:shd w:fill="CCEEFF" w:val="clear"/>
            <w:vAlign w:val="center"/>
          </w:tcPr>
          <w:p>
            <w:pPr>
              <w:pStyle w:val="TableContents"/>
              <w:bidi w:val="0"/>
              <w:spacing w:before="0" w:after="283"/>
              <w:jc w:val="right"/>
              <w:rPr/>
            </w:pPr>
            <w:r>
              <w:rPr/>
              <w:t>(106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(864,367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w:t>
            </w:r>
          </w:p>
        </w:tc>
        <w:tc>
          <w:tcPr>
            <w:tcW w:w="928" w:type="dxa"/>
            <w:tcBorders/>
            <w:shd w:fill="CCEEFF" w:val="clear"/>
            <w:vAlign w:val="center"/>
          </w:tcPr>
          <w:p>
            <w:pPr>
              <w:pStyle w:val="TableContents"/>
              <w:bidi w:val="0"/>
              <w:spacing w:before="0" w:after="283"/>
              <w:jc w:val="right"/>
              <w:rPr/>
            </w:pPr>
            <w:r>
              <w:rPr/>
              <w:t>4,681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w:t>
            </w:r>
          </w:p>
        </w:tc>
        <w:tc>
          <w:tcPr>
            <w:tcW w:w="897" w:type="dxa"/>
            <w:tcBorders/>
            <w:shd w:fill="CCEEFF" w:val="clear"/>
            <w:vAlign w:val="center"/>
          </w:tcPr>
          <w:p>
            <w:pPr>
              <w:pStyle w:val="TableContents"/>
              <w:bidi w:val="0"/>
              <w:spacing w:before="0" w:after="283"/>
              <w:jc w:val="right"/>
              <w:rPr/>
            </w:pPr>
            <w:r>
              <w:rPr/>
              <w:t>387,281</w:t>
            </w:r>
          </w:p>
        </w:tc>
        <w:tc>
          <w:tcPr>
            <w:tcW w:w="110" w:type="dxa"/>
            <w:tcBorders/>
            <w:shd w:fill="CCEEFF" w:val="clear"/>
            <w:vAlign w:val="center"/>
          </w:tcPr>
          <w:p>
            <w:pPr>
              <w:pStyle w:val="TableContents"/>
              <w:bidi w:val="0"/>
              <w:spacing w:before="0" w:after="283"/>
              <w:jc w:val="left"/>
              <w:rPr/>
            </w:pPr>
            <w:r>
              <w:rPr/>
              <w:t> </w:t>
            </w:r>
          </w:p>
        </w:tc>
      </w:tr>
      <w:tr>
        <w:trPr/>
        <w:tc>
          <w:tcPr>
            <w:tcW w:w="4685" w:type="dxa"/>
            <w:tcBorders/>
            <w:shd w:fill="FFFFFF" w:val="clear"/>
            <w:vAlign w:val="center"/>
          </w:tcPr>
          <w:p>
            <w:pPr>
              <w:pStyle w:val="TableContents"/>
              <w:bidi w:val="0"/>
              <w:spacing w:before="0" w:after="283"/>
              <w:jc w:val="left"/>
              <w:rPr>
                <w:sz w:val="20"/>
              </w:rPr>
            </w:pPr>
            <w:r>
              <w:rPr>
                <w:sz w:val="20"/>
              </w:rPr>
              <w:t>Rocket Lab transaction-related costs</w:t>
            </w:r>
            <w:r>
              <w:rPr>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59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92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right"/>
              <w:rPr/>
            </w:pPr>
            <w:r>
              <w:rPr/>
              <w:t>(211,883</w:t>
            </w:r>
          </w:p>
        </w:tc>
        <w:tc>
          <w:tcPr>
            <w:tcW w:w="110" w:type="dxa"/>
            <w:tcBorders/>
            <w:shd w:fill="FFFFFF" w:val="clear"/>
            <w:vAlign w:val="center"/>
          </w:tcPr>
          <w:p>
            <w:pPr>
              <w:pStyle w:val="TableContents"/>
              <w:bidi w:val="0"/>
              <w:spacing w:before="0" w:after="283"/>
              <w:jc w:val="left"/>
              <w:rPr/>
            </w:pPr>
            <w:r>
              <w:rPr/>
              <w:t>)</w:t>
            </w:r>
          </w:p>
        </w:tc>
      </w:tr>
      <w:tr>
        <w:trPr/>
        <w:tc>
          <w:tcPr>
            <w:tcW w:w="4685" w:type="dxa"/>
            <w:tcBorders/>
            <w:shd w:fill="CCEEFF" w:val="clear"/>
            <w:vAlign w:val="center"/>
          </w:tcPr>
          <w:p>
            <w:pPr>
              <w:pStyle w:val="TableContents"/>
              <w:bidi w:val="0"/>
              <w:spacing w:before="0" w:after="283"/>
              <w:jc w:val="left"/>
              <w:rPr/>
            </w:pPr>
            <w:r>
              <w:rPr/>
              <w:t>Aggregate Stock Consideration</w:t>
            </w:r>
          </w:p>
        </w:tc>
        <w:tc>
          <w:tcPr>
            <w:tcW w:w="6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pPr>
            <w:r>
              <w:rPr/>
              <w:t> </w:t>
            </w:r>
          </w:p>
        </w:tc>
        <w:tc>
          <w:tcPr>
            <w:tcW w:w="48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592" w:type="dxa"/>
            <w:tcBorders/>
            <w:shd w:fill="CCEEFF" w:val="clear"/>
            <w:vAlign w:val="center"/>
          </w:tcPr>
          <w:p>
            <w:pPr>
              <w:pStyle w:val="TableContents"/>
              <w:bidi w:val="0"/>
              <w:spacing w:before="0" w:after="283"/>
              <w:jc w:val="right"/>
              <w:rPr/>
            </w:pPr>
            <w:r>
              <w:rPr/>
              <w:t>4,126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2,950,206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 </w:t>
            </w:r>
          </w:p>
        </w:tc>
        <w:tc>
          <w:tcPr>
            <w:tcW w:w="92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897"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685" w:type="dxa"/>
            <w:tcBorders/>
            <w:shd w:fill="FFFFFF" w:val="clear"/>
            <w:vAlign w:val="center"/>
          </w:tcPr>
          <w:p>
            <w:pPr>
              <w:pStyle w:val="TableContents"/>
              <w:bidi w:val="0"/>
              <w:spacing w:before="0" w:after="283"/>
              <w:jc w:val="left"/>
              <w:rPr/>
            </w:pPr>
            <w:r>
              <w:rPr/>
              <w:t>Capitalization of Iridium converted equity awards</w:t>
            </w:r>
            <w:r>
              <w:rPr>
                <w:position w:val="8"/>
                <w:sz w:val="19"/>
              </w:rPr>
              <w:t>(2)</w:t>
            </w:r>
          </w:p>
        </w:tc>
        <w:tc>
          <w:tcPr>
            <w:tcW w:w="60"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59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92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right"/>
              <w:rPr/>
            </w:pPr>
            <w:r>
              <w:rPr/>
              <w:t>9,209</w:t>
            </w:r>
          </w:p>
        </w:tc>
        <w:tc>
          <w:tcPr>
            <w:tcW w:w="110" w:type="dxa"/>
            <w:tcBorders/>
            <w:shd w:fill="FFFFFF" w:val="clear"/>
            <w:vAlign w:val="center"/>
          </w:tcPr>
          <w:p>
            <w:pPr>
              <w:pStyle w:val="TableContents"/>
              <w:bidi w:val="0"/>
              <w:spacing w:before="0" w:after="283"/>
              <w:jc w:val="left"/>
              <w:rPr/>
            </w:pPr>
            <w:r>
              <w:rPr/>
              <w:t> </w:t>
            </w:r>
          </w:p>
        </w:tc>
      </w:tr>
      <w:tr>
        <w:trPr/>
        <w:tc>
          <w:tcPr>
            <w:tcW w:w="4685" w:type="dxa"/>
            <w:tcBorders/>
            <w:shd w:fill="CCEEFF" w:val="clear"/>
            <w:vAlign w:val="center"/>
          </w:tcPr>
          <w:p>
            <w:pPr>
              <w:pStyle w:val="TableContents"/>
              <w:bidi w:val="0"/>
              <w:spacing w:before="0" w:after="283"/>
              <w:jc w:val="left"/>
              <w:rPr/>
            </w:pPr>
            <w:r>
              <w:rPr/>
              <w:t>Tax adjustments</w:t>
            </w:r>
          </w:p>
        </w:tc>
        <w:tc>
          <w:tcPr>
            <w:tcW w:w="6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pPr>
            <w:r>
              <w:rPr/>
              <w:t> </w:t>
            </w:r>
          </w:p>
        </w:tc>
        <w:tc>
          <w:tcPr>
            <w:tcW w:w="48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59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 </w:t>
            </w:r>
          </w:p>
        </w:tc>
        <w:tc>
          <w:tcPr>
            <w:tcW w:w="92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897" w:type="dxa"/>
            <w:tcBorders/>
            <w:shd w:fill="CCEEFF" w:val="clear"/>
            <w:vAlign w:val="center"/>
          </w:tcPr>
          <w:p>
            <w:pPr>
              <w:pStyle w:val="TableContents"/>
              <w:bidi w:val="0"/>
              <w:spacing w:before="0" w:after="283"/>
              <w:jc w:val="right"/>
              <w:rPr/>
            </w:pPr>
            <w:r>
              <w:rPr/>
              <w:t>313,719</w:t>
            </w:r>
          </w:p>
        </w:tc>
        <w:tc>
          <w:tcPr>
            <w:tcW w:w="110" w:type="dxa"/>
            <w:tcBorders/>
            <w:shd w:fill="CCEEFF" w:val="clear"/>
            <w:vAlign w:val="center"/>
          </w:tcPr>
          <w:p>
            <w:pPr>
              <w:pStyle w:val="TableContents"/>
              <w:bidi w:val="0"/>
              <w:spacing w:before="0" w:after="283"/>
              <w:jc w:val="left"/>
              <w:rPr/>
            </w:pPr>
            <w:r>
              <w:rPr/>
              <w:t> </w:t>
            </w:r>
          </w:p>
        </w:tc>
      </w:tr>
      <w:tr>
        <w:trPr/>
        <w:tc>
          <w:tcPr>
            <w:tcW w:w="4685" w:type="dxa"/>
            <w:tcBorders/>
            <w:shd w:fill="FFFFFF" w:val="clear"/>
            <w:vAlign w:val="center"/>
          </w:tcPr>
          <w:p>
            <w:pPr>
              <w:pStyle w:val="TableContents"/>
              <w:bidi w:val="0"/>
              <w:spacing w:before="0" w:after="283"/>
              <w:jc w:val="left"/>
              <w:rPr/>
            </w:pPr>
            <w:r>
              <w:rPr/>
              <w:t>Equity issuance cost</w:t>
            </w:r>
          </w:p>
        </w:tc>
        <w:tc>
          <w:tcPr>
            <w:tcW w:w="60" w:type="dxa"/>
            <w:tcBorders/>
            <w:shd w:fill="FFFFFF" w:val="clear"/>
            <w:vAlign w:val="center"/>
          </w:tcPr>
          <w:p>
            <w:pPr>
              <w:pStyle w:val="TableContents"/>
              <w:bidi w:val="0"/>
              <w:spacing w:before="0" w:after="283"/>
              <w:jc w:val="left"/>
              <w:rPr/>
            </w:pPr>
            <w:r>
              <w:rPr/>
              <w:t> </w:t>
            </w:r>
          </w:p>
        </w:tc>
        <w:tc>
          <w:tcPr>
            <w:tcW w:w="25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81"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92"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(18,000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3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28"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97"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4685" w:type="dxa"/>
            <w:tcBorders/>
            <w:shd w:fill="CCEEFF" w:val="clear"/>
            <w:vAlign w:val="center"/>
          </w:tcPr>
          <w:p>
            <w:pPr>
              <w:pStyle w:val="TableContents"/>
              <w:bidi w:val="0"/>
              <w:spacing w:before="0" w:after="283"/>
              <w:jc w:val="left"/>
              <w:rPr>
                <w:b/>
              </w:rPr>
            </w:pPr>
            <w:r>
              <w:rPr>
                <w:b/>
              </w:rPr>
              <w:t>Total pro forma adjustment</w:t>
            </w:r>
          </w:p>
        </w:tc>
        <w:tc>
          <w:tcPr>
            <w:tcW w:w="60" w:type="dxa"/>
            <w:tcBorders/>
            <w:shd w:fill="CCEEFF" w:val="clear"/>
            <w:vAlign w:val="center"/>
          </w:tcPr>
          <w:p>
            <w:pPr>
              <w:pStyle w:val="TableContents"/>
              <w:bidi w:val="0"/>
              <w:spacing w:before="0" w:after="283"/>
              <w:jc w:val="left"/>
              <w:rPr/>
            </w:pPr>
            <w:r>
              <w:rPr/>
              <w:t> </w:t>
            </w:r>
          </w:p>
        </w:tc>
        <w:tc>
          <w:tcPr>
            <w:tcW w:w="259"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481"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592"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4,020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2,067,839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2"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928"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4,681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897"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498,326</w:t>
            </w:r>
          </w:p>
        </w:tc>
        <w:tc>
          <w:tcPr>
            <w:tcW w:w="110" w:type="dxa"/>
            <w:tcBorders/>
            <w:shd w:fill="CCEEFF" w:val="clear"/>
            <w:vAlign w:val="center"/>
          </w:tcPr>
          <w:p>
            <w:pPr>
              <w:pStyle w:val="TableContents"/>
              <w:bidi w:val="0"/>
              <w:spacing w:before="0" w:after="283"/>
              <w:jc w:val="left"/>
              <w:rPr/>
            </w:pPr>
            <w:r>
              <w:rPr/>
              <w:t> </w:t>
            </w:r>
          </w:p>
        </w:tc>
      </w:tr>
    </w:tbl>
    <w:p>
      <w:pPr>
        <w:pStyle w:val="TextBody"/>
        <w:bidi w:val="0"/>
        <w:ind w:left="720" w:right="0" w:hanging="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4"/>
        <w:gridCol w:w="265"/>
        <w:gridCol w:w="9886"/>
      </w:tblGrid>
      <w:tr>
        <w:trPr/>
        <w:tc>
          <w:tcPr>
            <w:tcW w:w="54"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position w:val="6"/>
                <w:sz w:val="14"/>
                <w:sz w:val="18"/>
              </w:rPr>
            </w:pPr>
            <w:r>
              <w:rPr>
                <w:position w:val="6"/>
                <w:sz w:val="14"/>
                <w:sz w:val="18"/>
              </w:rPr>
              <w:t>(1)</w:t>
            </w:r>
          </w:p>
        </w:tc>
        <w:tc>
          <w:tcPr>
            <w:tcW w:w="9886" w:type="dxa"/>
            <w:tcBorders/>
            <w:vAlign w:val="center"/>
          </w:tcPr>
          <w:p>
            <w:pPr>
              <w:pStyle w:val="TableContents"/>
              <w:bidi w:val="0"/>
              <w:spacing w:before="0" w:after="283"/>
              <w:jc w:val="left"/>
              <w:rPr>
                <w:sz w:val="18"/>
              </w:rPr>
            </w:pPr>
            <w:r>
              <w:rPr>
                <w:sz w:val="18"/>
              </w:rPr>
              <w:t>Mergers costs assumed to be incurred subsequent to June 30, 2026, further described in note (b).</w:t>
            </w:r>
          </w:p>
        </w:tc>
      </w:tr>
    </w:tbl>
    <w:tbl>
      <w:tblPr>
        <w:tblW w:w="5000" w:type="pct"/>
        <w:jc w:val="left"/>
        <w:tblInd w:w="0" w:type="dxa"/>
        <w:tblLayout w:type="fixed"/>
        <w:tblCellMar>
          <w:top w:w="0" w:type="dxa"/>
          <w:left w:w="0" w:type="dxa"/>
          <w:bottom w:w="0" w:type="dxa"/>
          <w:right w:w="0" w:type="dxa"/>
        </w:tblCellMar>
      </w:tblPr>
      <w:tblGrid>
        <w:gridCol w:w="265"/>
        <w:gridCol w:w="1295"/>
        <w:gridCol w:w="8645"/>
      </w:tblGrid>
      <w:tr>
        <w:trPr/>
        <w:tc>
          <w:tcPr>
            <w:tcW w:w="265"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position w:val="6"/>
                <w:sz w:val="14"/>
                <w:sz w:val="18"/>
              </w:rPr>
            </w:pPr>
            <w:r>
              <w:rPr>
                <w:position w:val="6"/>
                <w:sz w:val="14"/>
                <w:sz w:val="18"/>
              </w:rPr>
              <w:t>(2)</w:t>
            </w:r>
          </w:p>
        </w:tc>
        <w:tc>
          <w:tcPr>
            <w:tcW w:w="8645" w:type="dxa"/>
            <w:tcBorders/>
            <w:vAlign w:val="center"/>
          </w:tcPr>
          <w:p>
            <w:pPr>
              <w:pStyle w:val="TableContents"/>
              <w:bidi w:val="0"/>
              <w:spacing w:before="0" w:after="283"/>
              <w:jc w:val="left"/>
              <w:rPr>
                <w:sz w:val="18"/>
              </w:rPr>
            </w:pPr>
            <w:r>
              <w:rPr>
                <w:sz w:val="18"/>
              </w:rPr>
              <w:t>Refer to note (c).</w:t>
            </w:r>
          </w:p>
        </w:tc>
      </w:tr>
    </w:tbl>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Adjustments to the Unaudited Pro Forma Consolidated Statement of Operations for the six months ended June 30, 2026 and year ended December 31, 2025</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0"/>
        <w:gridCol w:w="9990"/>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i.</w:t>
            </w:r>
          </w:p>
        </w:tc>
        <w:tc>
          <w:tcPr>
            <w:tcW w:w="9990" w:type="dxa"/>
            <w:tcBorders/>
            <w:vAlign w:val="center"/>
          </w:tcPr>
          <w:p>
            <w:pPr>
              <w:pStyle w:val="TableContents"/>
              <w:bidi w:val="0"/>
              <w:spacing w:before="0" w:after="283"/>
              <w:jc w:val="both"/>
              <w:rPr/>
            </w:pPr>
            <w:r>
              <w:rPr/>
              <w:t>The table below shows the preliminary estimated fair value of each identifiable acquired intangible asset, their respective estimated useful lives, and straight-line amortization for each respective period.</w:t>
            </w:r>
          </w:p>
        </w:tc>
      </w:tr>
    </w:tbl>
    <w:p>
      <w:pPr>
        <w:pStyle w:val="TextBody"/>
        <w:bidi w:val="0"/>
        <w:jc w:val="left"/>
        <w:rPr>
          <w:caps w:val="false"/>
          <w:smallCaps w:val="false"/>
        </w:rPr>
      </w:pPr>
      <w:r>
        <w:rPr>
          <w:caps w:val="false"/>
          <w:smallCaps w:val="false"/>
        </w:rPr>
        <w:t> </w:t>
      </w:r>
    </w:p>
    <w:tbl>
      <w:tblPr>
        <w:tblW w:w="9936" w:type="dxa"/>
        <w:jc w:val="left"/>
        <w:tblInd w:w="0" w:type="dxa"/>
        <w:tblLayout w:type="fixed"/>
        <w:tblCellMar>
          <w:top w:w="0" w:type="dxa"/>
          <w:left w:w="0" w:type="dxa"/>
          <w:bottom w:w="0" w:type="dxa"/>
          <w:right w:w="0" w:type="dxa"/>
        </w:tblCellMar>
      </w:tblPr>
      <w:tblGrid>
        <w:gridCol w:w="4985"/>
        <w:gridCol w:w="60"/>
        <w:gridCol w:w="140"/>
        <w:gridCol w:w="980"/>
        <w:gridCol w:w="60"/>
        <w:gridCol w:w="60"/>
        <w:gridCol w:w="920"/>
        <w:gridCol w:w="60"/>
        <w:gridCol w:w="206"/>
        <w:gridCol w:w="1004"/>
        <w:gridCol w:w="88"/>
        <w:gridCol w:w="88"/>
        <w:gridCol w:w="206"/>
        <w:gridCol w:w="1004"/>
        <w:gridCol w:w="75"/>
      </w:tblGrid>
      <w:tr>
        <w:trPr/>
        <w:tc>
          <w:tcPr>
            <w:tcW w:w="49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96" w:type="dxa"/>
            <w:gridSpan w:val="6"/>
            <w:tcBorders>
              <w:bottom w:val="single" w:sz="8" w:space="0" w:color="000000"/>
            </w:tcBorders>
            <w:tcMar>
              <w:bottom w:w="28" w:type="dxa"/>
            </w:tcMar>
            <w:vAlign w:val="center"/>
          </w:tcPr>
          <w:p>
            <w:pPr>
              <w:pStyle w:val="TableContents"/>
              <w:bidi w:val="0"/>
              <w:spacing w:before="0" w:after="283"/>
              <w:jc w:val="center"/>
              <w:rPr>
                <w:b/>
                <w:sz w:val="18"/>
              </w:rPr>
            </w:pPr>
            <w:r>
              <w:rPr>
                <w:b/>
                <w:sz w:val="18"/>
              </w:rPr>
              <w:t>Pro Forma Amortization Expense</w:t>
            </w:r>
          </w:p>
        </w:tc>
        <w:tc>
          <w:tcPr>
            <w:tcW w:w="75" w:type="dxa"/>
            <w:tcBorders/>
            <w:vAlign w:val="center"/>
          </w:tcPr>
          <w:p>
            <w:pPr>
              <w:pStyle w:val="TableContents"/>
              <w:bidi w:val="0"/>
              <w:spacing w:before="0" w:after="283"/>
              <w:jc w:val="left"/>
              <w:rPr/>
            </w:pPr>
            <w:r>
              <w:rPr/>
              <w:t> </w:t>
            </w:r>
          </w:p>
        </w:tc>
      </w:tr>
      <w:tr>
        <w:trPr/>
        <w:tc>
          <w:tcPr>
            <w:tcW w:w="4985" w:type="dxa"/>
            <w:tcBorders/>
            <w:vAlign w:val="center"/>
          </w:tcPr>
          <w:p>
            <w:pPr>
              <w:pStyle w:val="TableContents"/>
              <w:bidi w:val="0"/>
              <w:spacing w:before="0" w:after="283"/>
              <w:jc w:val="left"/>
              <w:rPr>
                <w:sz w:val="18"/>
              </w:rPr>
            </w:pPr>
            <w:r>
              <w:rPr>
                <w:sz w:val="18"/>
              </w:rPr>
              <w:t>(in thousands, except for useful lives)</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 xml:space="preserve">Preliminary </w:t>
            </w:r>
          </w:p>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Fair 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tcBorders>
              <w:bottom w:val="single" w:sz="8" w:space="0" w:color="000000"/>
            </w:tcBorders>
            <w:tcMar>
              <w:bottom w:w="28" w:type="dxa"/>
            </w:tcMar>
            <w:vAlign w:val="center"/>
          </w:tcPr>
          <w:p>
            <w:pPr>
              <w:pStyle w:val="TableContents"/>
              <w:bidi w:val="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 xml:space="preserve">Estimated </w:t>
            </w:r>
          </w:p>
          <w:p>
            <w:pPr>
              <w:pStyle w:val="TableContents"/>
              <w:bidi w:val="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 xml:space="preserve">Useful Life </w:t>
            </w:r>
          </w:p>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(in years)</w:t>
            </w:r>
          </w:p>
        </w:tc>
        <w:tc>
          <w:tcPr>
            <w:tcW w:w="60" w:type="dxa"/>
            <w:tcBorders/>
            <w:vAlign w:val="center"/>
          </w:tcPr>
          <w:p>
            <w:pPr>
              <w:pStyle w:val="TableContents"/>
              <w:bidi w:val="0"/>
              <w:spacing w:before="0" w:after="283"/>
              <w:jc w:val="left"/>
              <w:rPr/>
            </w:pPr>
            <w:r>
              <w:rPr/>
              <w:t> </w:t>
            </w:r>
          </w:p>
        </w:tc>
        <w:tc>
          <w:tcPr>
            <w:tcW w:w="1210"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 xml:space="preserve">Six Months </w:t>
            </w:r>
          </w:p>
          <w:p>
            <w:pPr>
              <w:pStyle w:val="TableContents"/>
              <w:bidi w:val="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 xml:space="preserve">Ended June </w:t>
            </w:r>
          </w:p>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30, 2026</w:t>
            </w:r>
          </w:p>
        </w:tc>
        <w:tc>
          <w:tcPr>
            <w:tcW w:w="88"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210"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 xml:space="preserve">Year Ended </w:t>
            </w:r>
          </w:p>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December 31,</w:t>
              <w:br/>
              <w:t>2025</w:t>
            </w:r>
          </w:p>
        </w:tc>
        <w:tc>
          <w:tcPr>
            <w:tcW w:w="75" w:type="dxa"/>
            <w:tcBorders/>
            <w:vAlign w:val="center"/>
          </w:tcPr>
          <w:p>
            <w:pPr>
              <w:pStyle w:val="TableContents"/>
              <w:bidi w:val="0"/>
              <w:spacing w:before="0" w:after="283"/>
              <w:jc w:val="left"/>
              <w:rPr/>
            </w:pPr>
            <w:r>
              <w:rPr/>
              <w:t> </w:t>
            </w:r>
          </w:p>
        </w:tc>
      </w:tr>
      <w:tr>
        <w:trPr/>
        <w:tc>
          <w:tcPr>
            <w:tcW w:w="4985" w:type="dxa"/>
            <w:tcBorders/>
            <w:shd w:fill="CCEEFF" w:val="clear"/>
            <w:vAlign w:val="center"/>
          </w:tcPr>
          <w:p>
            <w:pPr>
              <w:pStyle w:val="TableContents"/>
              <w:bidi w:val="0"/>
              <w:spacing w:before="0" w:after="283"/>
              <w:jc w:val="left"/>
              <w:rPr/>
            </w:pPr>
            <w:r>
              <w:rPr/>
              <w:t>Spectrum</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3,315,500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center"/>
              <w:rPr/>
            </w:pPr>
            <w:r>
              <w:rPr/>
              <w:t>Indefinite</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004" w:type="dxa"/>
            <w:tcBorders/>
            <w:shd w:fill="CCEEFF" w:val="clear"/>
            <w:vAlign w:val="center"/>
          </w:tcPr>
          <w:p>
            <w:pPr>
              <w:pStyle w:val="TableContents"/>
              <w:bidi w:val="0"/>
              <w:spacing w:before="0" w:after="283"/>
              <w:jc w:val="right"/>
              <w:rPr>
                <w:sz w:val="20"/>
              </w:rPr>
            </w:pPr>
            <w:r>
              <w:rPr>
                <w:sz w:val="20"/>
              </w:rPr>
              <w:t>N/A</w:t>
            </w:r>
          </w:p>
        </w:tc>
        <w:tc>
          <w:tcPr>
            <w:tcW w:w="8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004" w:type="dxa"/>
            <w:tcBorders/>
            <w:shd w:fill="CCEEFF" w:val="clear"/>
            <w:vAlign w:val="center"/>
          </w:tcPr>
          <w:p>
            <w:pPr>
              <w:pStyle w:val="TableContents"/>
              <w:bidi w:val="0"/>
              <w:spacing w:before="0" w:after="283"/>
              <w:jc w:val="right"/>
              <w:rPr>
                <w:sz w:val="20"/>
              </w:rPr>
            </w:pPr>
            <w:r>
              <w:rPr>
                <w:sz w:val="20"/>
              </w:rPr>
              <w:t>N/A</w:t>
            </w:r>
          </w:p>
        </w:tc>
        <w:tc>
          <w:tcPr>
            <w:tcW w:w="75" w:type="dxa"/>
            <w:tcBorders/>
            <w:shd w:fill="CCEEFF" w:val="clear"/>
            <w:vAlign w:val="center"/>
          </w:tcPr>
          <w:p>
            <w:pPr>
              <w:pStyle w:val="TableContents"/>
              <w:bidi w:val="0"/>
              <w:spacing w:before="0" w:after="283"/>
              <w:jc w:val="left"/>
              <w:rPr/>
            </w:pPr>
            <w:r>
              <w:rPr/>
              <w:t> </w:t>
            </w:r>
          </w:p>
        </w:tc>
      </w:tr>
      <w:tr>
        <w:trPr/>
        <w:tc>
          <w:tcPr>
            <w:tcW w:w="4985" w:type="dxa"/>
            <w:tcBorders/>
            <w:shd w:fill="FFFFFF" w:val="clear"/>
            <w:vAlign w:val="center"/>
          </w:tcPr>
          <w:p>
            <w:pPr>
              <w:pStyle w:val="TableContents"/>
              <w:bidi w:val="0"/>
              <w:spacing w:before="0" w:after="283"/>
              <w:jc w:val="left"/>
              <w:rPr/>
            </w:pPr>
            <w:r>
              <w:rPr/>
              <w:t>Customer Relationships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447,379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center"/>
              <w:rPr/>
            </w:pPr>
            <w:r>
              <w:rPr/>
              <w:t>15</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004" w:type="dxa"/>
            <w:tcBorders/>
            <w:shd w:fill="FFFFFF" w:val="clear"/>
            <w:vAlign w:val="center"/>
          </w:tcPr>
          <w:p>
            <w:pPr>
              <w:pStyle w:val="TableContents"/>
              <w:bidi w:val="0"/>
              <w:spacing w:before="0" w:after="283"/>
              <w:jc w:val="right"/>
              <w:rPr/>
            </w:pPr>
            <w:r>
              <w:rPr/>
              <w:t>14,913</w:t>
            </w:r>
          </w:p>
        </w:tc>
        <w:tc>
          <w:tcPr>
            <w:tcW w:w="88"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004" w:type="dxa"/>
            <w:tcBorders/>
            <w:shd w:fill="FFFFFF" w:val="clear"/>
            <w:vAlign w:val="center"/>
          </w:tcPr>
          <w:p>
            <w:pPr>
              <w:pStyle w:val="TableContents"/>
              <w:bidi w:val="0"/>
              <w:spacing w:before="0" w:after="283"/>
              <w:jc w:val="right"/>
              <w:rPr/>
            </w:pPr>
            <w:r>
              <w:rPr/>
              <w:t>29,825</w:t>
            </w:r>
          </w:p>
        </w:tc>
        <w:tc>
          <w:tcPr>
            <w:tcW w:w="75" w:type="dxa"/>
            <w:tcBorders/>
            <w:shd w:fill="FFFFFF" w:val="clear"/>
            <w:vAlign w:val="center"/>
          </w:tcPr>
          <w:p>
            <w:pPr>
              <w:pStyle w:val="TableContents"/>
              <w:bidi w:val="0"/>
              <w:spacing w:before="0" w:after="283"/>
              <w:jc w:val="left"/>
              <w:rPr/>
            </w:pPr>
            <w:r>
              <w:rPr/>
              <w:t> </w:t>
            </w:r>
          </w:p>
        </w:tc>
      </w:tr>
      <w:tr>
        <w:trPr/>
        <w:tc>
          <w:tcPr>
            <w:tcW w:w="4985" w:type="dxa"/>
            <w:tcBorders/>
            <w:shd w:fill="CCEEFF" w:val="clear"/>
            <w:vAlign w:val="center"/>
          </w:tcPr>
          <w:p>
            <w:pPr>
              <w:pStyle w:val="TableContents"/>
              <w:bidi w:val="0"/>
              <w:spacing w:before="0" w:after="283"/>
              <w:jc w:val="left"/>
              <w:rPr/>
            </w:pPr>
            <w:r>
              <w:rPr/>
              <w:t>Technology</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566,459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center"/>
              <w:rPr/>
            </w:pPr>
            <w:r>
              <w:rPr/>
              <w:t>15</w:t>
            </w:r>
          </w:p>
        </w:tc>
        <w:tc>
          <w:tcPr>
            <w:tcW w:w="60" w:type="dxa"/>
            <w:tcBorders/>
            <w:shd w:fill="CCEEFF" w:val="clear"/>
            <w:vAlign w:val="center"/>
          </w:tcPr>
          <w:p>
            <w:pPr>
              <w:pStyle w:val="TableContents"/>
              <w:bidi w:val="0"/>
              <w:spacing w:before="0" w:after="283"/>
              <w:jc w:val="left"/>
              <w:rPr/>
            </w:pPr>
            <w:r>
              <w:rPr/>
              <w:t> </w:t>
            </w:r>
          </w:p>
        </w:tc>
        <w:tc>
          <w:tcPr>
            <w:tcW w:w="20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04" w:type="dxa"/>
            <w:tcBorders>
              <w:bottom w:val="single" w:sz="8" w:space="0" w:color="000000"/>
            </w:tcBorders>
            <w:shd w:fill="CCEEFF" w:val="clear"/>
            <w:tcMar>
              <w:bottom w:w="28" w:type="dxa"/>
            </w:tcMar>
            <w:vAlign w:val="center"/>
          </w:tcPr>
          <w:p>
            <w:pPr>
              <w:pStyle w:val="TableContents"/>
              <w:bidi w:val="0"/>
              <w:spacing w:before="0" w:after="283"/>
              <w:jc w:val="right"/>
              <w:rPr/>
            </w:pPr>
            <w:r>
              <w:rPr/>
              <w:t>18,882</w:t>
            </w:r>
          </w:p>
        </w:tc>
        <w:tc>
          <w:tcPr>
            <w:tcW w:w="8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20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04" w:type="dxa"/>
            <w:tcBorders>
              <w:bottom w:val="single" w:sz="8" w:space="0" w:color="000000"/>
            </w:tcBorders>
            <w:shd w:fill="CCEEFF" w:val="clear"/>
            <w:tcMar>
              <w:bottom w:w="28" w:type="dxa"/>
            </w:tcMar>
            <w:vAlign w:val="center"/>
          </w:tcPr>
          <w:p>
            <w:pPr>
              <w:pStyle w:val="TableContents"/>
              <w:bidi w:val="0"/>
              <w:spacing w:before="0" w:after="283"/>
              <w:jc w:val="right"/>
              <w:rPr/>
            </w:pPr>
            <w:r>
              <w:rPr/>
              <w:t>37,765</w:t>
            </w:r>
          </w:p>
        </w:tc>
        <w:tc>
          <w:tcPr>
            <w:tcW w:w="75" w:type="dxa"/>
            <w:tcBorders/>
            <w:shd w:fill="CCEEFF" w:val="clear"/>
            <w:vAlign w:val="center"/>
          </w:tcPr>
          <w:p>
            <w:pPr>
              <w:pStyle w:val="TableContents"/>
              <w:bidi w:val="0"/>
              <w:spacing w:before="0" w:after="283"/>
              <w:jc w:val="left"/>
              <w:rPr/>
            </w:pPr>
            <w:r>
              <w:rPr/>
              <w:t> </w:t>
            </w:r>
          </w:p>
        </w:tc>
      </w:tr>
      <w:tr>
        <w:trPr/>
        <w:tc>
          <w:tcPr>
            <w:tcW w:w="4985" w:type="dxa"/>
            <w:tcBorders/>
            <w:shd w:fill="FFFFFF" w:val="clear"/>
            <w:vAlign w:val="center"/>
          </w:tcPr>
          <w:p>
            <w:pPr>
              <w:pStyle w:val="TableContents"/>
              <w:bidi w:val="0"/>
              <w:spacing w:before="0" w:after="283"/>
              <w:jc w:val="left"/>
              <w:rPr/>
            </w:pPr>
            <w:r>
              <w:rPr/>
              <w:t>Total</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b/>
              </w:rPr>
            </w:pPr>
            <w:r>
              <w:rPr>
                <w:b/>
              </w:rPr>
              <w:t>$</w:t>
            </w:r>
          </w:p>
        </w:tc>
        <w:tc>
          <w:tcPr>
            <w:tcW w:w="980" w:type="dxa"/>
            <w:tcBorders/>
            <w:shd w:fill="FFFFFF" w:val="clear"/>
            <w:vAlign w:val="center"/>
          </w:tcPr>
          <w:p>
            <w:pPr>
              <w:pStyle w:val="TableContents"/>
              <w:bidi w:val="0"/>
              <w:spacing w:before="0" w:after="283"/>
              <w:jc w:val="right"/>
              <w:rPr>
                <w:b/>
              </w:rPr>
            </w:pPr>
            <w:r>
              <w:rPr>
                <w:b/>
              </w:rPr>
              <w:t>4,329,338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b/>
              </w:rPr>
            </w:pPr>
            <w:r>
              <w:rPr>
                <w:b/>
              </w:rPr>
              <w:t>$</w:t>
            </w:r>
          </w:p>
        </w:tc>
        <w:tc>
          <w:tcPr>
            <w:tcW w:w="1004" w:type="dxa"/>
            <w:tcBorders/>
            <w:shd w:fill="FFFFFF" w:val="clear"/>
            <w:vAlign w:val="center"/>
          </w:tcPr>
          <w:p>
            <w:pPr>
              <w:pStyle w:val="TableContents"/>
              <w:bidi w:val="0"/>
              <w:spacing w:before="0" w:after="283"/>
              <w:jc w:val="right"/>
              <w:rPr>
                <w:b/>
              </w:rPr>
            </w:pPr>
            <w:r>
              <w:rPr>
                <w:b/>
              </w:rPr>
              <w:t>33,795</w:t>
            </w:r>
          </w:p>
        </w:tc>
        <w:tc>
          <w:tcPr>
            <w:tcW w:w="88"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b/>
              </w:rPr>
            </w:pPr>
            <w:r>
              <w:rPr>
                <w:b/>
              </w:rPr>
              <w:t>$</w:t>
            </w:r>
          </w:p>
        </w:tc>
        <w:tc>
          <w:tcPr>
            <w:tcW w:w="1004" w:type="dxa"/>
            <w:tcBorders/>
            <w:shd w:fill="FFFFFF" w:val="clear"/>
            <w:vAlign w:val="center"/>
          </w:tcPr>
          <w:p>
            <w:pPr>
              <w:pStyle w:val="TableContents"/>
              <w:bidi w:val="0"/>
              <w:spacing w:before="0" w:after="283"/>
              <w:jc w:val="right"/>
              <w:rPr>
                <w:b/>
              </w:rPr>
            </w:pPr>
            <w:r>
              <w:rPr>
                <w:b/>
              </w:rPr>
              <w:t>67,590</w:t>
            </w:r>
          </w:p>
        </w:tc>
        <w:tc>
          <w:tcPr>
            <w:tcW w:w="75" w:type="dxa"/>
            <w:tcBorders/>
            <w:shd w:fill="FFFFFF" w:val="clear"/>
            <w:vAlign w:val="center"/>
          </w:tcPr>
          <w:p>
            <w:pPr>
              <w:pStyle w:val="TableContents"/>
              <w:bidi w:val="0"/>
              <w:spacing w:before="0" w:after="283"/>
              <w:jc w:val="left"/>
              <w:rPr/>
            </w:pPr>
            <w:r>
              <w:rPr/>
              <w:t> </w:t>
            </w:r>
          </w:p>
        </w:tc>
      </w:tr>
      <w:tr>
        <w:trPr/>
        <w:tc>
          <w:tcPr>
            <w:tcW w:w="4985" w:type="dxa"/>
            <w:tcBorders/>
            <w:shd w:fill="CCEEFF" w:val="clear"/>
            <w:vAlign w:val="center"/>
          </w:tcPr>
          <w:p>
            <w:pPr>
              <w:pStyle w:val="TableContents"/>
              <w:bidi w:val="0"/>
              <w:spacing w:before="0" w:after="283"/>
              <w:jc w:val="left"/>
              <w:rPr/>
            </w:pPr>
            <w:r>
              <w:rPr/>
              <w:t>Less: Historical amortization expense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04" w:type="dxa"/>
            <w:tcBorders>
              <w:bottom w:val="single" w:sz="8" w:space="0" w:color="000000"/>
            </w:tcBorders>
            <w:shd w:fill="CCEEFF" w:val="clear"/>
            <w:tcMar>
              <w:bottom w:w="28" w:type="dxa"/>
            </w:tcMar>
            <w:vAlign w:val="center"/>
          </w:tcPr>
          <w:p>
            <w:pPr>
              <w:pStyle w:val="TableContents"/>
              <w:bidi w:val="0"/>
              <w:spacing w:before="0" w:after="283"/>
              <w:jc w:val="right"/>
              <w:rPr/>
            </w:pPr>
            <w:r>
              <w:rPr/>
              <w:t>4,262</w:t>
            </w:r>
          </w:p>
        </w:tc>
        <w:tc>
          <w:tcPr>
            <w:tcW w:w="8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206"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004" w:type="dxa"/>
            <w:tcBorders>
              <w:bottom w:val="single" w:sz="8" w:space="0" w:color="000000"/>
            </w:tcBorders>
            <w:shd w:fill="CCEEFF" w:val="clear"/>
            <w:tcMar>
              <w:bottom w:w="28" w:type="dxa"/>
            </w:tcMar>
            <w:vAlign w:val="center"/>
          </w:tcPr>
          <w:p>
            <w:pPr>
              <w:pStyle w:val="TableContents"/>
              <w:bidi w:val="0"/>
              <w:spacing w:before="0" w:after="283"/>
              <w:jc w:val="right"/>
              <w:rPr/>
            </w:pPr>
            <w:r>
              <w:rPr/>
              <w:t>3,949</w:t>
            </w:r>
          </w:p>
        </w:tc>
        <w:tc>
          <w:tcPr>
            <w:tcW w:w="75" w:type="dxa"/>
            <w:tcBorders/>
            <w:shd w:fill="CCEEFF" w:val="clear"/>
            <w:vAlign w:val="center"/>
          </w:tcPr>
          <w:p>
            <w:pPr>
              <w:pStyle w:val="TableContents"/>
              <w:bidi w:val="0"/>
              <w:spacing w:before="0" w:after="283"/>
              <w:jc w:val="left"/>
              <w:rPr/>
            </w:pPr>
            <w:r>
              <w:rPr/>
              <w:t> </w:t>
            </w:r>
          </w:p>
        </w:tc>
      </w:tr>
      <w:tr>
        <w:trPr/>
        <w:tc>
          <w:tcPr>
            <w:tcW w:w="4985" w:type="dxa"/>
            <w:tcBorders/>
            <w:shd w:fill="FFFFFF" w:val="clear"/>
            <w:vAlign w:val="center"/>
          </w:tcPr>
          <w:p>
            <w:pPr>
              <w:pStyle w:val="TableContents"/>
              <w:bidi w:val="0"/>
              <w:spacing w:before="0" w:after="283"/>
              <w:jc w:val="left"/>
              <w:rPr/>
            </w:pPr>
            <w:r>
              <w:rPr/>
              <w:t>Total pro forma adjustment for amortization expense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004"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29,533</w:t>
            </w:r>
          </w:p>
        </w:tc>
        <w:tc>
          <w:tcPr>
            <w:tcW w:w="88"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206"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004"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63,641</w:t>
            </w:r>
          </w:p>
        </w:tc>
        <w:tc>
          <w:tcPr>
            <w:tcW w:w="75" w:type="dxa"/>
            <w:tcBorders/>
            <w:shd w:fill="FFFFFF" w:val="clear"/>
            <w:vAlign w:val="center"/>
          </w:tcPr>
          <w:p>
            <w:pPr>
              <w:pStyle w:val="TableContents"/>
              <w:bidi w:val="0"/>
              <w:spacing w:before="0" w:after="283"/>
              <w:jc w:val="left"/>
              <w:rPr/>
            </w:pPr>
            <w:r>
              <w:rPr/>
              <w:t> </w:t>
            </w:r>
          </w:p>
        </w:tc>
      </w:tr>
    </w:tbl>
    <w:p>
      <w:pPr>
        <w:pStyle w:val="TextBody"/>
        <w:bidi w:val="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15</w:t>
      </w:r>
    </w:p>
    <w:p>
      <w:pPr>
        <w:pStyle w:val="TextBody"/>
        <w:bidi w:val="0"/>
        <w:spacing w:before="0" w:after="0"/>
        <w:ind w:left="0" w:right="0" w:hanging="0"/>
        <w:jc w:val="left"/>
        <w:rPr/>
      </w:pPr>
      <w:r>
        <w:rPr/>
        <w:t> </w:t>
      </w:r>
    </w:p>
    <w:p>
      <w:pPr>
        <w:pStyle w:val="TextBody"/>
        <w:bidi w:val="0"/>
        <w:ind w:left="720" w:right="0" w:hanging="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 in amortization expense reflected in the pro forma statement of operations during the six months ended June 30, 2026 and the year ended December 31, 2025, respectively consisted of the following (in thousands):</w:t>
      </w:r>
    </w:p>
    <w:p>
      <w:pPr>
        <w:pStyle w:val="TextBody"/>
        <w:bidi w:val="0"/>
        <w:ind w:left="720" w:right="0" w:hanging="0"/>
        <w:jc w:val="both"/>
        <w:rPr>
          <w:caps w:val="false"/>
          <w:smallCaps w:val="false"/>
        </w:rPr>
      </w:pPr>
      <w:r>
        <w:rPr>
          <w:caps w:val="false"/>
          <w:smallCaps w:val="false"/>
        </w:rPr>
        <w:t> </w:t>
      </w:r>
    </w:p>
    <w:tbl>
      <w:tblPr>
        <w:tblW w:w="6784" w:type="dxa"/>
        <w:jc w:val="left"/>
        <w:tblInd w:w="0" w:type="dxa"/>
        <w:tblLayout w:type="fixed"/>
        <w:tblCellMar>
          <w:top w:w="0" w:type="dxa"/>
          <w:left w:w="0" w:type="dxa"/>
          <w:bottom w:w="0" w:type="dxa"/>
          <w:right w:w="0" w:type="dxa"/>
        </w:tblCellMar>
      </w:tblPr>
      <w:tblGrid>
        <w:gridCol w:w="3290"/>
        <w:gridCol w:w="60"/>
        <w:gridCol w:w="217"/>
        <w:gridCol w:w="868"/>
        <w:gridCol w:w="60"/>
        <w:gridCol w:w="60"/>
        <w:gridCol w:w="184"/>
        <w:gridCol w:w="900"/>
        <w:gridCol w:w="60"/>
        <w:gridCol w:w="60"/>
        <w:gridCol w:w="162"/>
        <w:gridCol w:w="788"/>
        <w:gridCol w:w="75"/>
      </w:tblGrid>
      <w:tr>
        <w:trPr/>
        <w:tc>
          <w:tcPr>
            <w:tcW w:w="3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59" w:type="dxa"/>
            <w:gridSpan w:val="10"/>
            <w:tcBorders>
              <w:bottom w:val="single" w:sz="8" w:space="0" w:color="000000"/>
            </w:tcBorders>
            <w:tcMar>
              <w:bottom w:w="28" w:type="dxa"/>
            </w:tcMar>
            <w:vAlign w:val="center"/>
          </w:tcPr>
          <w:p>
            <w:pPr>
              <w:pStyle w:val="TableContents"/>
              <w:bidi w:val="0"/>
              <w:spacing w:before="0" w:after="283"/>
              <w:jc w:val="center"/>
              <w:rPr>
                <w:b/>
                <w:sz w:val="18"/>
              </w:rPr>
            </w:pPr>
            <w:r>
              <w:rPr>
                <w:b/>
                <w:sz w:val="18"/>
              </w:rPr>
              <w:t>Six Months Ended June 30, 2026</w:t>
            </w:r>
          </w:p>
        </w:tc>
        <w:tc>
          <w:tcPr>
            <w:tcW w:w="75" w:type="dxa"/>
            <w:tcBorders/>
            <w:vAlign w:val="center"/>
          </w:tcPr>
          <w:p>
            <w:pPr>
              <w:pStyle w:val="TableContents"/>
              <w:bidi w:val="0"/>
              <w:spacing w:before="0" w:after="283"/>
              <w:jc w:val="left"/>
              <w:rPr/>
            </w:pPr>
            <w:r>
              <w:rPr/>
              <w:t> </w:t>
            </w:r>
          </w:p>
        </w:tc>
      </w:tr>
      <w:tr>
        <w:trPr/>
        <w:tc>
          <w:tcPr>
            <w:tcW w:w="3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 xml:space="preserve">Historical </w:t>
            </w:r>
          </w:p>
          <w:p>
            <w:pPr>
              <w:pStyle w:val="TableContents"/>
              <w:bidi w:val="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 xml:space="preserve">Amortization </w:t>
            </w:r>
          </w:p>
          <w:p>
            <w:pPr>
              <w:pStyle w:val="TableContents"/>
              <w:bidi w:val="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 xml:space="preserve">Expense </w:t>
            </w:r>
          </w:p>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(Note 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4"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 xml:space="preserve">Pro Forma </w:t>
            </w:r>
          </w:p>
          <w:p>
            <w:pPr>
              <w:pStyle w:val="TableContents"/>
              <w:bidi w:val="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 xml:space="preserve">Amortization </w:t>
            </w:r>
          </w:p>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Expense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 xml:space="preserve">Total Pro </w:t>
            </w:r>
          </w:p>
          <w:p>
            <w:pPr>
              <w:pStyle w:val="TableContents"/>
              <w:bidi w:val="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 xml:space="preserve">Forma </w:t>
            </w:r>
          </w:p>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Adjustment</w:t>
            </w:r>
          </w:p>
        </w:tc>
        <w:tc>
          <w:tcPr>
            <w:tcW w:w="75" w:type="dxa"/>
            <w:tcBorders/>
            <w:vAlign w:val="center"/>
          </w:tcPr>
          <w:p>
            <w:pPr>
              <w:pStyle w:val="TableContents"/>
              <w:bidi w:val="0"/>
              <w:spacing w:before="0" w:after="283"/>
              <w:jc w:val="left"/>
              <w:rPr/>
            </w:pPr>
            <w:r>
              <w:rPr/>
              <w:t> </w:t>
            </w:r>
          </w:p>
        </w:tc>
      </w:tr>
      <w:tr>
        <w:trPr/>
        <w:tc>
          <w:tcPr>
            <w:tcW w:w="3290" w:type="dxa"/>
            <w:tcBorders/>
            <w:shd w:fill="CCEEFF" w:val="clear"/>
            <w:vAlign w:val="center"/>
          </w:tcPr>
          <w:p>
            <w:pPr>
              <w:pStyle w:val="TableContents"/>
              <w:bidi w:val="0"/>
              <w:spacing w:before="0" w:after="283"/>
              <w:jc w:val="left"/>
              <w:rPr/>
            </w:pPr>
            <w:r>
              <w:rPr/>
              <w:t>Cost of product revenues</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w:t>
            </w:r>
          </w:p>
        </w:tc>
        <w:tc>
          <w:tcPr>
            <w:tcW w:w="86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w:t>
            </w:r>
          </w:p>
        </w:tc>
        <w:tc>
          <w:tcPr>
            <w:tcW w:w="900" w:type="dxa"/>
            <w:tcBorders/>
            <w:shd w:fill="CCEEFF" w:val="clear"/>
            <w:vAlign w:val="center"/>
          </w:tcPr>
          <w:p>
            <w:pPr>
              <w:pStyle w:val="TableContents"/>
              <w:bidi w:val="0"/>
              <w:spacing w:before="0" w:after="283"/>
              <w:jc w:val="right"/>
              <w:rPr/>
            </w:pPr>
            <w:r>
              <w:rPr/>
              <w:t>1,742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w:t>
            </w:r>
          </w:p>
        </w:tc>
        <w:tc>
          <w:tcPr>
            <w:tcW w:w="788" w:type="dxa"/>
            <w:tcBorders/>
            <w:shd w:fill="CCEEFF" w:val="clear"/>
            <w:vAlign w:val="center"/>
          </w:tcPr>
          <w:p>
            <w:pPr>
              <w:pStyle w:val="TableContents"/>
              <w:bidi w:val="0"/>
              <w:spacing w:before="0" w:after="283"/>
              <w:jc w:val="right"/>
              <w:rPr/>
            </w:pPr>
            <w:r>
              <w:rPr/>
              <w:t>1,742</w:t>
            </w:r>
          </w:p>
        </w:tc>
        <w:tc>
          <w:tcPr>
            <w:tcW w:w="75" w:type="dxa"/>
            <w:tcBorders/>
            <w:shd w:fill="CCEEFF" w:val="clear"/>
            <w:vAlign w:val="center"/>
          </w:tcPr>
          <w:p>
            <w:pPr>
              <w:pStyle w:val="TableContents"/>
              <w:bidi w:val="0"/>
              <w:spacing w:before="0" w:after="283"/>
              <w:jc w:val="left"/>
              <w:rPr/>
            </w:pPr>
            <w:r>
              <w:rPr/>
              <w:t> </w:t>
            </w:r>
          </w:p>
        </w:tc>
      </w:tr>
      <w:tr>
        <w:trPr/>
        <w:tc>
          <w:tcPr>
            <w:tcW w:w="3290" w:type="dxa"/>
            <w:tcBorders/>
            <w:shd w:fill="FFFFFF" w:val="clear"/>
            <w:vAlign w:val="center"/>
          </w:tcPr>
          <w:p>
            <w:pPr>
              <w:pStyle w:val="TableContents"/>
              <w:bidi w:val="0"/>
              <w:spacing w:before="0" w:after="283"/>
              <w:jc w:val="left"/>
              <w:rPr/>
            </w:pPr>
            <w:r>
              <w:rPr/>
              <w:t>Cost of service revenues</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68" w:type="dxa"/>
            <w:tcBorders/>
            <w:shd w:fill="FFFFFF" w:val="clear"/>
            <w:vAlign w:val="center"/>
          </w:tcPr>
          <w:p>
            <w:pPr>
              <w:pStyle w:val="TableContents"/>
              <w:bidi w:val="0"/>
              <w:spacing w:before="0" w:after="283"/>
              <w:jc w:val="right"/>
              <w:rPr/>
            </w:pPr>
            <w:r>
              <w:rPr/>
              <w:t>217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right"/>
              <w:rPr/>
            </w:pPr>
            <w:r>
              <w:rPr/>
              <w:t>17,140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788" w:type="dxa"/>
            <w:tcBorders/>
            <w:shd w:fill="FFFFFF" w:val="clear"/>
            <w:vAlign w:val="center"/>
          </w:tcPr>
          <w:p>
            <w:pPr>
              <w:pStyle w:val="TableContents"/>
              <w:bidi w:val="0"/>
              <w:spacing w:before="0" w:after="283"/>
              <w:jc w:val="right"/>
              <w:rPr/>
            </w:pPr>
            <w:r>
              <w:rPr/>
              <w:t>16,923</w:t>
            </w:r>
          </w:p>
        </w:tc>
        <w:tc>
          <w:tcPr>
            <w:tcW w:w="75" w:type="dxa"/>
            <w:tcBorders/>
            <w:shd w:fill="FFFFFF" w:val="clear"/>
            <w:vAlign w:val="center"/>
          </w:tcPr>
          <w:p>
            <w:pPr>
              <w:pStyle w:val="TableContents"/>
              <w:bidi w:val="0"/>
              <w:spacing w:before="0" w:after="283"/>
              <w:jc w:val="left"/>
              <w:rPr/>
            </w:pPr>
            <w:r>
              <w:rPr/>
              <w:t> </w:t>
            </w:r>
          </w:p>
        </w:tc>
      </w:tr>
      <w:tr>
        <w:trPr/>
        <w:tc>
          <w:tcPr>
            <w:tcW w:w="3290" w:type="dxa"/>
            <w:tcBorders/>
            <w:shd w:fill="CCEEFF" w:val="clear"/>
            <w:vAlign w:val="center"/>
          </w:tcPr>
          <w:p>
            <w:pPr>
              <w:pStyle w:val="TableContents"/>
              <w:bidi w:val="0"/>
              <w:spacing w:before="0" w:after="283"/>
              <w:jc w:val="left"/>
              <w:rPr/>
            </w:pPr>
            <w:r>
              <w:rPr/>
              <w:t>Selling, general and administrative</w:t>
            </w:r>
          </w:p>
        </w:tc>
        <w:tc>
          <w:tcPr>
            <w:tcW w:w="60" w:type="dxa"/>
            <w:tcBorders/>
            <w:shd w:fill="CCEEFF" w:val="clear"/>
            <w:vAlign w:val="center"/>
          </w:tcPr>
          <w:p>
            <w:pPr>
              <w:pStyle w:val="TableContents"/>
              <w:bidi w:val="0"/>
              <w:spacing w:before="0" w:after="283"/>
              <w:jc w:val="left"/>
              <w:rPr/>
            </w:pPr>
            <w:r>
              <w:rPr/>
              <w:t> </w:t>
            </w:r>
          </w:p>
        </w:tc>
        <w:tc>
          <w:tcPr>
            <w:tcW w:w="21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68" w:type="dxa"/>
            <w:tcBorders>
              <w:bottom w:val="single" w:sz="8" w:space="0" w:color="000000"/>
            </w:tcBorders>
            <w:shd w:fill="CCEEFF" w:val="clear"/>
            <w:tcMar>
              <w:bottom w:w="28" w:type="dxa"/>
            </w:tcMar>
            <w:vAlign w:val="center"/>
          </w:tcPr>
          <w:p>
            <w:pPr>
              <w:pStyle w:val="TableContents"/>
              <w:bidi w:val="0"/>
              <w:spacing w:before="0" w:after="283"/>
              <w:jc w:val="right"/>
              <w:rPr/>
            </w:pPr>
            <w:r>
              <w:rPr/>
              <w:t>4,045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00" w:type="dxa"/>
            <w:tcBorders>
              <w:bottom w:val="single" w:sz="8" w:space="0" w:color="000000"/>
            </w:tcBorders>
            <w:shd w:fill="CCEEFF" w:val="clear"/>
            <w:tcMar>
              <w:bottom w:w="28" w:type="dxa"/>
            </w:tcMar>
            <w:vAlign w:val="center"/>
          </w:tcPr>
          <w:p>
            <w:pPr>
              <w:pStyle w:val="TableContents"/>
              <w:bidi w:val="0"/>
              <w:spacing w:before="0" w:after="283"/>
              <w:jc w:val="right"/>
              <w:rPr/>
            </w:pPr>
            <w:r>
              <w:rPr/>
              <w:t>14,913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88" w:type="dxa"/>
            <w:tcBorders>
              <w:bottom w:val="single" w:sz="8" w:space="0" w:color="000000"/>
            </w:tcBorders>
            <w:shd w:fill="CCEEFF" w:val="clear"/>
            <w:tcMar>
              <w:bottom w:w="28" w:type="dxa"/>
            </w:tcMar>
            <w:vAlign w:val="center"/>
          </w:tcPr>
          <w:p>
            <w:pPr>
              <w:pStyle w:val="TableContents"/>
              <w:bidi w:val="0"/>
              <w:spacing w:before="0" w:after="283"/>
              <w:jc w:val="right"/>
              <w:rPr/>
            </w:pPr>
            <w:r>
              <w:rPr/>
              <w:t>10,868</w:t>
            </w:r>
          </w:p>
        </w:tc>
        <w:tc>
          <w:tcPr>
            <w:tcW w:w="75" w:type="dxa"/>
            <w:tcBorders/>
            <w:shd w:fill="CCEEFF" w:val="clear"/>
            <w:vAlign w:val="center"/>
          </w:tcPr>
          <w:p>
            <w:pPr>
              <w:pStyle w:val="TableContents"/>
              <w:bidi w:val="0"/>
              <w:spacing w:before="0" w:after="283"/>
              <w:jc w:val="left"/>
              <w:rPr/>
            </w:pPr>
            <w:r>
              <w:rPr/>
              <w:t> </w:t>
            </w:r>
          </w:p>
        </w:tc>
      </w:tr>
      <w:tr>
        <w:trPr/>
        <w:tc>
          <w:tcPr>
            <w:tcW w:w="3290" w:type="dxa"/>
            <w:tcBorders/>
            <w:shd w:fill="FFFFFF" w:val="clear"/>
            <w:vAlign w:val="center"/>
          </w:tcPr>
          <w:p>
            <w:pPr>
              <w:pStyle w:val="TableContents"/>
              <w:bidi w:val="0"/>
              <w:spacing w:before="0" w:after="283"/>
              <w:jc w:val="left"/>
              <w:rPr/>
            </w:pPr>
            <w:r>
              <w:rPr/>
              <w:t>Total amortization expense</w:t>
            </w:r>
          </w:p>
        </w:tc>
        <w:tc>
          <w:tcPr>
            <w:tcW w:w="60" w:type="dxa"/>
            <w:tcBorders/>
            <w:shd w:fill="FFFFFF" w:val="cle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68" w:type="dxa"/>
            <w:tcBorders>
              <w:bottom w:val="double" w:sz="6" w:space="0" w:color="000000"/>
            </w:tcBorders>
            <w:shd w:fill="FFFFFF" w:val="clear"/>
            <w:tcMar>
              <w:bottom w:w="28" w:type="dxa"/>
            </w:tcMar>
            <w:vAlign w:val="center"/>
          </w:tcPr>
          <w:p>
            <w:pPr>
              <w:pStyle w:val="TableContents"/>
              <w:bidi w:val="0"/>
              <w:spacing w:before="0" w:after="283"/>
              <w:jc w:val="right"/>
              <w:rPr/>
            </w:pPr>
            <w:r>
              <w:rPr/>
              <w:t>4,262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00" w:type="dxa"/>
            <w:tcBorders>
              <w:bottom w:val="double" w:sz="6" w:space="0" w:color="000000"/>
            </w:tcBorders>
            <w:shd w:fill="FFFFFF" w:val="clear"/>
            <w:tcMar>
              <w:bottom w:w="28" w:type="dxa"/>
            </w:tcMar>
            <w:vAlign w:val="center"/>
          </w:tcPr>
          <w:p>
            <w:pPr>
              <w:pStyle w:val="TableContents"/>
              <w:bidi w:val="0"/>
              <w:spacing w:before="0" w:after="283"/>
              <w:jc w:val="right"/>
              <w:rPr/>
            </w:pPr>
            <w:r>
              <w:rPr/>
              <w:t>33,795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88" w:type="dxa"/>
            <w:tcBorders>
              <w:bottom w:val="double" w:sz="6" w:space="0" w:color="000000"/>
            </w:tcBorders>
            <w:shd w:fill="FFFFFF" w:val="clear"/>
            <w:tcMar>
              <w:bottom w:w="28" w:type="dxa"/>
            </w:tcMar>
            <w:vAlign w:val="center"/>
          </w:tcPr>
          <w:p>
            <w:pPr>
              <w:pStyle w:val="TableContents"/>
              <w:bidi w:val="0"/>
              <w:spacing w:before="0" w:after="283"/>
              <w:jc w:val="right"/>
              <w:rPr/>
            </w:pPr>
            <w:r>
              <w:rPr/>
              <w:t>29,533</w:t>
            </w:r>
          </w:p>
        </w:tc>
        <w:tc>
          <w:tcPr>
            <w:tcW w:w="75" w:type="dxa"/>
            <w:tcBorders/>
            <w:shd w:fill="FFFFFF" w:val="clear"/>
            <w:vAlign w:val="center"/>
          </w:tcPr>
          <w:p>
            <w:pPr>
              <w:pStyle w:val="TableContents"/>
              <w:bidi w:val="0"/>
              <w:spacing w:before="0" w:after="283"/>
              <w:jc w:val="left"/>
              <w:rPr/>
            </w:pPr>
            <w:r>
              <w:rPr/>
              <w:t> </w:t>
            </w:r>
          </w:p>
        </w:tc>
      </w:tr>
    </w:tbl>
    <w:p>
      <w:pPr>
        <w:pStyle w:val="TextBody"/>
        <w:bidi w:val="0"/>
        <w:ind w:left="720" w:right="0" w:hanging="0"/>
        <w:jc w:val="both"/>
        <w:rPr>
          <w:caps w:val="false"/>
          <w:smallCaps w:val="false"/>
        </w:rPr>
      </w:pPr>
      <w:r>
        <w:rPr>
          <w:caps w:val="false"/>
          <w:smallCaps w:val="false"/>
        </w:rPr>
        <w:t> </w:t>
      </w:r>
    </w:p>
    <w:tbl>
      <w:tblPr>
        <w:tblW w:w="6784" w:type="dxa"/>
        <w:jc w:val="left"/>
        <w:tblInd w:w="0" w:type="dxa"/>
        <w:tblLayout w:type="fixed"/>
        <w:tblCellMar>
          <w:top w:w="0" w:type="dxa"/>
          <w:left w:w="0" w:type="dxa"/>
          <w:bottom w:w="0" w:type="dxa"/>
          <w:right w:w="0" w:type="dxa"/>
        </w:tblCellMar>
      </w:tblPr>
      <w:tblGrid>
        <w:gridCol w:w="3290"/>
        <w:gridCol w:w="60"/>
        <w:gridCol w:w="217"/>
        <w:gridCol w:w="868"/>
        <w:gridCol w:w="60"/>
        <w:gridCol w:w="60"/>
        <w:gridCol w:w="184"/>
        <w:gridCol w:w="900"/>
        <w:gridCol w:w="60"/>
        <w:gridCol w:w="60"/>
        <w:gridCol w:w="162"/>
        <w:gridCol w:w="788"/>
        <w:gridCol w:w="75"/>
      </w:tblGrid>
      <w:tr>
        <w:trPr/>
        <w:tc>
          <w:tcPr>
            <w:tcW w:w="3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59" w:type="dxa"/>
            <w:gridSpan w:val="10"/>
            <w:tcBorders>
              <w:bottom w:val="single" w:sz="8" w:space="0" w:color="000000"/>
            </w:tcBorders>
            <w:tcMar>
              <w:bottom w:w="28" w:type="dxa"/>
            </w:tcMar>
            <w:vAlign w:val="center"/>
          </w:tcPr>
          <w:p>
            <w:pPr>
              <w:pStyle w:val="TableContents"/>
              <w:bidi w:val="0"/>
              <w:spacing w:before="0" w:after="283"/>
              <w:jc w:val="center"/>
              <w:rPr>
                <w:b/>
                <w:sz w:val="18"/>
              </w:rPr>
            </w:pPr>
            <w:r>
              <w:rPr>
                <w:b/>
                <w:sz w:val="18"/>
              </w:rPr>
              <w:t>Year Ended December 31, 2025</w:t>
            </w:r>
          </w:p>
        </w:tc>
        <w:tc>
          <w:tcPr>
            <w:tcW w:w="75" w:type="dxa"/>
            <w:tcBorders/>
            <w:vAlign w:val="center"/>
          </w:tcPr>
          <w:p>
            <w:pPr>
              <w:pStyle w:val="TableContents"/>
              <w:bidi w:val="0"/>
              <w:spacing w:before="0" w:after="283"/>
              <w:jc w:val="left"/>
              <w:rPr/>
            </w:pPr>
            <w:r>
              <w:rPr/>
              <w:t> </w:t>
            </w:r>
          </w:p>
        </w:tc>
      </w:tr>
      <w:tr>
        <w:trPr/>
        <w:tc>
          <w:tcPr>
            <w:tcW w:w="3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 xml:space="preserve">Historical </w:t>
            </w:r>
          </w:p>
          <w:p>
            <w:pPr>
              <w:pStyle w:val="TableContents"/>
              <w:bidi w:val="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 xml:space="preserve">Amortization </w:t>
            </w:r>
          </w:p>
          <w:p>
            <w:pPr>
              <w:pStyle w:val="TableContents"/>
              <w:bidi w:val="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Expense</w:t>
            </w:r>
          </w:p>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(Note 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4"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 xml:space="preserve">Pro Forma </w:t>
            </w:r>
          </w:p>
          <w:p>
            <w:pPr>
              <w:pStyle w:val="TableContents"/>
              <w:bidi w:val="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 xml:space="preserve">Amortization </w:t>
            </w:r>
          </w:p>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Expense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 xml:space="preserve">Total Pro </w:t>
            </w:r>
          </w:p>
          <w:p>
            <w:pPr>
              <w:pStyle w:val="TableContents"/>
              <w:bidi w:val="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 xml:space="preserve">Forma </w:t>
            </w:r>
          </w:p>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Adjustment</w:t>
            </w:r>
          </w:p>
        </w:tc>
        <w:tc>
          <w:tcPr>
            <w:tcW w:w="75" w:type="dxa"/>
            <w:tcBorders/>
            <w:vAlign w:val="center"/>
          </w:tcPr>
          <w:p>
            <w:pPr>
              <w:pStyle w:val="TableContents"/>
              <w:bidi w:val="0"/>
              <w:spacing w:before="0" w:after="283"/>
              <w:jc w:val="left"/>
              <w:rPr/>
            </w:pPr>
            <w:r>
              <w:rPr/>
              <w:t> </w:t>
            </w:r>
          </w:p>
        </w:tc>
      </w:tr>
      <w:tr>
        <w:trPr/>
        <w:tc>
          <w:tcPr>
            <w:tcW w:w="3290" w:type="dxa"/>
            <w:tcBorders/>
            <w:shd w:fill="CCEEFF" w:val="clear"/>
            <w:vAlign w:val="center"/>
          </w:tcPr>
          <w:p>
            <w:pPr>
              <w:pStyle w:val="TableContents"/>
              <w:bidi w:val="0"/>
              <w:spacing w:before="0" w:after="283"/>
              <w:jc w:val="left"/>
              <w:rPr/>
            </w:pPr>
            <w:r>
              <w:rPr/>
              <w:t>Cost of product revenues</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w:t>
            </w:r>
          </w:p>
        </w:tc>
        <w:tc>
          <w:tcPr>
            <w:tcW w:w="86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w:t>
            </w:r>
          </w:p>
        </w:tc>
        <w:tc>
          <w:tcPr>
            <w:tcW w:w="900" w:type="dxa"/>
            <w:tcBorders/>
            <w:shd w:fill="CCEEFF" w:val="clear"/>
            <w:vAlign w:val="center"/>
          </w:tcPr>
          <w:p>
            <w:pPr>
              <w:pStyle w:val="TableContents"/>
              <w:bidi w:val="0"/>
              <w:spacing w:before="0" w:after="283"/>
              <w:jc w:val="right"/>
              <w:rPr/>
            </w:pPr>
            <w:r>
              <w:rPr/>
              <w:t>3,514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w:t>
            </w:r>
          </w:p>
        </w:tc>
        <w:tc>
          <w:tcPr>
            <w:tcW w:w="788" w:type="dxa"/>
            <w:tcBorders/>
            <w:shd w:fill="CCEEFF" w:val="clear"/>
            <w:vAlign w:val="center"/>
          </w:tcPr>
          <w:p>
            <w:pPr>
              <w:pStyle w:val="TableContents"/>
              <w:bidi w:val="0"/>
              <w:spacing w:before="0" w:after="283"/>
              <w:jc w:val="right"/>
              <w:rPr/>
            </w:pPr>
            <w:r>
              <w:rPr/>
              <w:t>3,514</w:t>
            </w:r>
          </w:p>
        </w:tc>
        <w:tc>
          <w:tcPr>
            <w:tcW w:w="75" w:type="dxa"/>
            <w:tcBorders/>
            <w:shd w:fill="CCEEFF" w:val="clear"/>
            <w:vAlign w:val="center"/>
          </w:tcPr>
          <w:p>
            <w:pPr>
              <w:pStyle w:val="TableContents"/>
              <w:bidi w:val="0"/>
              <w:spacing w:before="0" w:after="283"/>
              <w:jc w:val="left"/>
              <w:rPr/>
            </w:pPr>
            <w:r>
              <w:rPr/>
              <w:t> </w:t>
            </w:r>
          </w:p>
        </w:tc>
      </w:tr>
      <w:tr>
        <w:trPr/>
        <w:tc>
          <w:tcPr>
            <w:tcW w:w="3290" w:type="dxa"/>
            <w:tcBorders/>
            <w:shd w:fill="FFFFFF" w:val="clear"/>
            <w:vAlign w:val="center"/>
          </w:tcPr>
          <w:p>
            <w:pPr>
              <w:pStyle w:val="TableContents"/>
              <w:bidi w:val="0"/>
              <w:spacing w:before="0" w:after="283"/>
              <w:jc w:val="left"/>
              <w:rPr/>
            </w:pPr>
            <w:r>
              <w:rPr/>
              <w:t>Cost of service revenues</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68" w:type="dxa"/>
            <w:tcBorders/>
            <w:shd w:fill="FFFFFF" w:val="clear"/>
            <w:vAlign w:val="center"/>
          </w:tcPr>
          <w:p>
            <w:pPr>
              <w:pStyle w:val="TableContents"/>
              <w:bidi w:val="0"/>
              <w:spacing w:before="0" w:after="283"/>
              <w:jc w:val="right"/>
              <w:rPr/>
            </w:pPr>
            <w:r>
              <w:rPr/>
              <w:t>434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right"/>
              <w:rPr/>
            </w:pPr>
            <w:r>
              <w:rPr/>
              <w:t>34,251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788" w:type="dxa"/>
            <w:tcBorders/>
            <w:shd w:fill="FFFFFF" w:val="clear"/>
            <w:vAlign w:val="center"/>
          </w:tcPr>
          <w:p>
            <w:pPr>
              <w:pStyle w:val="TableContents"/>
              <w:bidi w:val="0"/>
              <w:spacing w:before="0" w:after="283"/>
              <w:jc w:val="right"/>
              <w:rPr/>
            </w:pPr>
            <w:r>
              <w:rPr/>
              <w:t>33,817</w:t>
            </w:r>
          </w:p>
        </w:tc>
        <w:tc>
          <w:tcPr>
            <w:tcW w:w="75" w:type="dxa"/>
            <w:tcBorders/>
            <w:shd w:fill="FFFFFF" w:val="clear"/>
            <w:vAlign w:val="center"/>
          </w:tcPr>
          <w:p>
            <w:pPr>
              <w:pStyle w:val="TableContents"/>
              <w:bidi w:val="0"/>
              <w:spacing w:before="0" w:after="283"/>
              <w:jc w:val="left"/>
              <w:rPr/>
            </w:pPr>
            <w:r>
              <w:rPr/>
              <w:t> </w:t>
            </w:r>
          </w:p>
        </w:tc>
      </w:tr>
      <w:tr>
        <w:trPr/>
        <w:tc>
          <w:tcPr>
            <w:tcW w:w="3290" w:type="dxa"/>
            <w:tcBorders/>
            <w:shd w:fill="CCEEFF" w:val="clear"/>
            <w:vAlign w:val="center"/>
          </w:tcPr>
          <w:p>
            <w:pPr>
              <w:pStyle w:val="TableContents"/>
              <w:bidi w:val="0"/>
              <w:spacing w:before="0" w:after="283"/>
              <w:jc w:val="left"/>
              <w:rPr/>
            </w:pPr>
            <w:r>
              <w:rPr/>
              <w:t>Selling, general and administrative</w:t>
            </w:r>
          </w:p>
        </w:tc>
        <w:tc>
          <w:tcPr>
            <w:tcW w:w="60" w:type="dxa"/>
            <w:tcBorders/>
            <w:shd w:fill="CCEEFF" w:val="clear"/>
            <w:vAlign w:val="center"/>
          </w:tcPr>
          <w:p>
            <w:pPr>
              <w:pStyle w:val="TableContents"/>
              <w:bidi w:val="0"/>
              <w:spacing w:before="0" w:after="283"/>
              <w:jc w:val="left"/>
              <w:rPr/>
            </w:pPr>
            <w:r>
              <w:rPr/>
              <w:t> </w:t>
            </w:r>
          </w:p>
        </w:tc>
        <w:tc>
          <w:tcPr>
            <w:tcW w:w="21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68" w:type="dxa"/>
            <w:tcBorders>
              <w:bottom w:val="single" w:sz="8" w:space="0" w:color="000000"/>
            </w:tcBorders>
            <w:shd w:fill="CCEEFF" w:val="clear"/>
            <w:tcMar>
              <w:bottom w:w="28" w:type="dxa"/>
            </w:tcMar>
            <w:vAlign w:val="center"/>
          </w:tcPr>
          <w:p>
            <w:pPr>
              <w:pStyle w:val="TableContents"/>
              <w:bidi w:val="0"/>
              <w:spacing w:before="0" w:after="283"/>
              <w:jc w:val="right"/>
              <w:rPr/>
            </w:pPr>
            <w:r>
              <w:rPr/>
              <w:t>3,515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00" w:type="dxa"/>
            <w:tcBorders>
              <w:bottom w:val="single" w:sz="8" w:space="0" w:color="000000"/>
            </w:tcBorders>
            <w:shd w:fill="CCEEFF" w:val="clear"/>
            <w:tcMar>
              <w:bottom w:w="28" w:type="dxa"/>
            </w:tcMar>
            <w:vAlign w:val="center"/>
          </w:tcPr>
          <w:p>
            <w:pPr>
              <w:pStyle w:val="TableContents"/>
              <w:bidi w:val="0"/>
              <w:spacing w:before="0" w:after="283"/>
              <w:jc w:val="right"/>
              <w:rPr/>
            </w:pPr>
            <w:r>
              <w:rPr/>
              <w:t>29,825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88" w:type="dxa"/>
            <w:tcBorders>
              <w:bottom w:val="single" w:sz="8" w:space="0" w:color="000000"/>
            </w:tcBorders>
            <w:shd w:fill="CCEEFF" w:val="clear"/>
            <w:tcMar>
              <w:bottom w:w="28" w:type="dxa"/>
            </w:tcMar>
            <w:vAlign w:val="center"/>
          </w:tcPr>
          <w:p>
            <w:pPr>
              <w:pStyle w:val="TableContents"/>
              <w:bidi w:val="0"/>
              <w:spacing w:before="0" w:after="283"/>
              <w:jc w:val="right"/>
              <w:rPr/>
            </w:pPr>
            <w:r>
              <w:rPr/>
              <w:t>26,310</w:t>
            </w:r>
          </w:p>
        </w:tc>
        <w:tc>
          <w:tcPr>
            <w:tcW w:w="75" w:type="dxa"/>
            <w:tcBorders/>
            <w:shd w:fill="CCEEFF" w:val="clear"/>
            <w:vAlign w:val="center"/>
          </w:tcPr>
          <w:p>
            <w:pPr>
              <w:pStyle w:val="TableContents"/>
              <w:bidi w:val="0"/>
              <w:spacing w:before="0" w:after="283"/>
              <w:jc w:val="left"/>
              <w:rPr/>
            </w:pPr>
            <w:r>
              <w:rPr/>
              <w:t> </w:t>
            </w:r>
          </w:p>
        </w:tc>
      </w:tr>
      <w:tr>
        <w:trPr/>
        <w:tc>
          <w:tcPr>
            <w:tcW w:w="3290" w:type="dxa"/>
            <w:tcBorders/>
            <w:shd w:fill="FFFFFF" w:val="clear"/>
            <w:vAlign w:val="center"/>
          </w:tcPr>
          <w:p>
            <w:pPr>
              <w:pStyle w:val="TableContents"/>
              <w:bidi w:val="0"/>
              <w:spacing w:before="0" w:after="283"/>
              <w:jc w:val="left"/>
              <w:rPr/>
            </w:pPr>
            <w:r>
              <w:rPr/>
              <w:t>Total amortization expense</w:t>
            </w:r>
          </w:p>
        </w:tc>
        <w:tc>
          <w:tcPr>
            <w:tcW w:w="60" w:type="dxa"/>
            <w:tcBorders/>
            <w:shd w:fill="FFFFFF" w:val="cle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68" w:type="dxa"/>
            <w:tcBorders>
              <w:bottom w:val="double" w:sz="6" w:space="0" w:color="000000"/>
            </w:tcBorders>
            <w:shd w:fill="FFFFFF" w:val="clear"/>
            <w:tcMar>
              <w:bottom w:w="28" w:type="dxa"/>
            </w:tcMar>
            <w:vAlign w:val="center"/>
          </w:tcPr>
          <w:p>
            <w:pPr>
              <w:pStyle w:val="TableContents"/>
              <w:bidi w:val="0"/>
              <w:spacing w:before="0" w:after="283"/>
              <w:jc w:val="right"/>
              <w:rPr/>
            </w:pPr>
            <w:r>
              <w:rPr/>
              <w:t>3,949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00" w:type="dxa"/>
            <w:tcBorders>
              <w:bottom w:val="double" w:sz="6" w:space="0" w:color="000000"/>
            </w:tcBorders>
            <w:shd w:fill="FFFFFF" w:val="clear"/>
            <w:tcMar>
              <w:bottom w:w="28" w:type="dxa"/>
            </w:tcMar>
            <w:vAlign w:val="center"/>
          </w:tcPr>
          <w:p>
            <w:pPr>
              <w:pStyle w:val="TableContents"/>
              <w:bidi w:val="0"/>
              <w:spacing w:before="0" w:after="283"/>
              <w:jc w:val="right"/>
              <w:rPr/>
            </w:pPr>
            <w:r>
              <w:rPr/>
              <w:t>67,590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88" w:type="dxa"/>
            <w:tcBorders>
              <w:bottom w:val="double" w:sz="6" w:space="0" w:color="000000"/>
            </w:tcBorders>
            <w:shd w:fill="FFFFFF" w:val="clear"/>
            <w:tcMar>
              <w:bottom w:w="28" w:type="dxa"/>
            </w:tcMar>
            <w:vAlign w:val="center"/>
          </w:tcPr>
          <w:p>
            <w:pPr>
              <w:pStyle w:val="TableContents"/>
              <w:bidi w:val="0"/>
              <w:spacing w:before="0" w:after="283"/>
              <w:jc w:val="right"/>
              <w:rPr/>
            </w:pPr>
            <w:r>
              <w:rPr/>
              <w:t>63,641</w:t>
            </w:r>
          </w:p>
        </w:tc>
        <w:tc>
          <w:tcPr>
            <w:tcW w:w="75" w:type="dxa"/>
            <w:tcBorders/>
            <w:shd w:fill="FFFFFF" w:val="clear"/>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tbl>
      <w:tblPr>
        <w:tblW w:w="10165" w:type="dxa"/>
        <w:jc w:val="left"/>
        <w:tblInd w:w="0" w:type="dxa"/>
        <w:tblLayout w:type="fixed"/>
        <w:tblCellMar>
          <w:top w:w="0" w:type="dxa"/>
          <w:left w:w="0" w:type="dxa"/>
          <w:bottom w:w="0" w:type="dxa"/>
          <w:right w:w="0" w:type="dxa"/>
        </w:tblCellMar>
      </w:tblPr>
      <w:tblGrid>
        <w:gridCol w:w="75"/>
        <w:gridCol w:w="140"/>
        <w:gridCol w:w="9950"/>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j.</w:t>
            </w:r>
          </w:p>
        </w:tc>
        <w:tc>
          <w:tcPr>
            <w:tcW w:w="9950" w:type="dxa"/>
            <w:tcBorders/>
            <w:vAlign w:val="center"/>
          </w:tcPr>
          <w:p>
            <w:pPr>
              <w:pStyle w:val="TableContents"/>
              <w:bidi w:val="0"/>
              <w:spacing w:before="0" w:after="283"/>
              <w:jc w:val="both"/>
              <w:rPr/>
            </w:pPr>
            <w:r>
              <w:rPr/>
              <w:t>Reflects adjustment to stock based compensation expense for the following equity awards (in thousands):</w:t>
            </w:r>
          </w:p>
        </w:tc>
      </w:tr>
    </w:tbl>
    <w:p>
      <w:pPr>
        <w:pStyle w:val="TextBody"/>
        <w:bidi w:val="0"/>
        <w:ind w:left="720" w:right="0" w:hanging="360"/>
        <w:jc w:val="both"/>
        <w:rPr>
          <w:caps w:val="false"/>
          <w:smallCaps w:val="false"/>
        </w:rPr>
      </w:pPr>
      <w:r>
        <w:rPr>
          <w:caps w:val="false"/>
          <w:smallCaps w:val="false"/>
        </w:rPr>
        <w:t> </w:t>
      </w:r>
    </w:p>
    <w:tbl>
      <w:tblPr>
        <w:tblW w:w="8278" w:type="dxa"/>
        <w:jc w:val="left"/>
        <w:tblInd w:w="0" w:type="dxa"/>
        <w:tblLayout w:type="fixed"/>
        <w:tblCellMar>
          <w:top w:w="0" w:type="dxa"/>
          <w:left w:w="0" w:type="dxa"/>
          <w:bottom w:w="0" w:type="dxa"/>
          <w:right w:w="0" w:type="dxa"/>
        </w:tblCellMar>
      </w:tblPr>
      <w:tblGrid>
        <w:gridCol w:w="5105"/>
        <w:gridCol w:w="60"/>
        <w:gridCol w:w="249"/>
        <w:gridCol w:w="1210"/>
        <w:gridCol w:w="60"/>
        <w:gridCol w:w="60"/>
        <w:gridCol w:w="249"/>
        <w:gridCol w:w="1210"/>
        <w:gridCol w:w="75"/>
      </w:tblGrid>
      <w:tr>
        <w:trPr/>
        <w:tc>
          <w:tcPr>
            <w:tcW w:w="51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9"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Six Months Ended</w:t>
            </w:r>
          </w:p>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June 30,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9"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Year Ended</w:t>
            </w:r>
          </w:p>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December 31, 2025</w:t>
            </w:r>
          </w:p>
        </w:tc>
        <w:tc>
          <w:tcPr>
            <w:tcW w:w="75" w:type="dxa"/>
            <w:tcBorders/>
            <w:vAlign w:val="center"/>
          </w:tcPr>
          <w:p>
            <w:pPr>
              <w:pStyle w:val="TableContents"/>
              <w:bidi w:val="0"/>
              <w:spacing w:before="0" w:after="283"/>
              <w:jc w:val="left"/>
              <w:rPr/>
            </w:pPr>
            <w:r>
              <w:rPr/>
              <w:t> </w:t>
            </w:r>
          </w:p>
        </w:tc>
      </w:tr>
      <w:tr>
        <w:trPr/>
        <w:tc>
          <w:tcPr>
            <w:tcW w:w="5105" w:type="dxa"/>
            <w:tcBorders/>
            <w:shd w:fill="CCEEFF" w:val="clear"/>
            <w:vAlign w:val="center"/>
          </w:tcPr>
          <w:p>
            <w:pPr>
              <w:pStyle w:val="TableContents"/>
              <w:bidi w:val="0"/>
              <w:spacing w:before="0" w:after="283"/>
              <w:jc w:val="left"/>
              <w:rPr/>
            </w:pPr>
            <w:r>
              <w:rPr/>
              <w:t>Iridium RSU Awards converted to Rocket Lab RSUs</w:t>
            </w:r>
          </w:p>
        </w:tc>
        <w:tc>
          <w:tcPr>
            <w:tcW w:w="6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pPr>
            <w:r>
              <w:rPr/>
              <w:t>$</w:t>
            </w:r>
          </w:p>
        </w:tc>
        <w:tc>
          <w:tcPr>
            <w:tcW w:w="1210" w:type="dxa"/>
            <w:tcBorders/>
            <w:shd w:fill="CCEEFF" w:val="clear"/>
            <w:vAlign w:val="center"/>
          </w:tcPr>
          <w:p>
            <w:pPr>
              <w:pStyle w:val="TableContents"/>
              <w:bidi w:val="0"/>
              <w:spacing w:before="0" w:after="283"/>
              <w:jc w:val="right"/>
              <w:rPr/>
            </w:pPr>
            <w:r>
              <w:rPr/>
              <w:t>21,824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pPr>
            <w:r>
              <w:rPr/>
              <w:t>$</w:t>
            </w:r>
          </w:p>
        </w:tc>
        <w:tc>
          <w:tcPr>
            <w:tcW w:w="1210" w:type="dxa"/>
            <w:tcBorders/>
            <w:shd w:fill="CCEEFF" w:val="clear"/>
            <w:vAlign w:val="center"/>
          </w:tcPr>
          <w:p>
            <w:pPr>
              <w:pStyle w:val="TableContents"/>
              <w:bidi w:val="0"/>
              <w:spacing w:before="0" w:after="283"/>
              <w:jc w:val="right"/>
              <w:rPr/>
            </w:pPr>
            <w:r>
              <w:rPr/>
              <w:t>55,070</w:t>
            </w:r>
          </w:p>
        </w:tc>
        <w:tc>
          <w:tcPr>
            <w:tcW w:w="75" w:type="dxa"/>
            <w:tcBorders/>
            <w:shd w:fill="CCEEFF" w:val="clear"/>
            <w:vAlign w:val="center"/>
          </w:tcPr>
          <w:p>
            <w:pPr>
              <w:pStyle w:val="TableContents"/>
              <w:bidi w:val="0"/>
              <w:spacing w:before="0" w:after="283"/>
              <w:jc w:val="left"/>
              <w:rPr/>
            </w:pPr>
            <w:r>
              <w:rPr/>
              <w:t> </w:t>
            </w:r>
          </w:p>
        </w:tc>
      </w:tr>
      <w:tr>
        <w:trPr/>
        <w:tc>
          <w:tcPr>
            <w:tcW w:w="5105" w:type="dxa"/>
            <w:tcBorders/>
            <w:shd w:fill="FFFFFF" w:val="clear"/>
            <w:vAlign w:val="center"/>
          </w:tcPr>
          <w:p>
            <w:pPr>
              <w:pStyle w:val="TableContents"/>
              <w:bidi w:val="0"/>
              <w:spacing w:before="0" w:after="283"/>
              <w:jc w:val="left"/>
              <w:rPr/>
            </w:pPr>
            <w:r>
              <w:rPr/>
              <w:t>Iridium PSU Awards converted to Rocket Lab RSUs</w:t>
            </w:r>
          </w:p>
        </w:tc>
        <w:tc>
          <w:tcPr>
            <w:tcW w:w="60"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1210" w:type="dxa"/>
            <w:tcBorders/>
            <w:shd w:fill="FFFFFF" w:val="clear"/>
            <w:vAlign w:val="center"/>
          </w:tcPr>
          <w:p>
            <w:pPr>
              <w:pStyle w:val="TableContents"/>
              <w:bidi w:val="0"/>
              <w:spacing w:before="0" w:after="283"/>
              <w:jc w:val="right"/>
              <w:rPr/>
            </w:pPr>
            <w:r>
              <w:rPr/>
              <w:t>4,062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1210" w:type="dxa"/>
            <w:tcBorders/>
            <w:shd w:fill="FFFFFF" w:val="clear"/>
            <w:vAlign w:val="center"/>
          </w:tcPr>
          <w:p>
            <w:pPr>
              <w:pStyle w:val="TableContents"/>
              <w:bidi w:val="0"/>
              <w:spacing w:before="0" w:after="283"/>
              <w:jc w:val="right"/>
              <w:rPr/>
            </w:pPr>
            <w:r>
              <w:rPr/>
              <w:t>7,845</w:t>
            </w:r>
          </w:p>
        </w:tc>
        <w:tc>
          <w:tcPr>
            <w:tcW w:w="75" w:type="dxa"/>
            <w:tcBorders/>
            <w:shd w:fill="FFFFFF" w:val="clear"/>
            <w:vAlign w:val="center"/>
          </w:tcPr>
          <w:p>
            <w:pPr>
              <w:pStyle w:val="TableContents"/>
              <w:bidi w:val="0"/>
              <w:spacing w:before="0" w:after="283"/>
              <w:jc w:val="left"/>
              <w:rPr/>
            </w:pPr>
            <w:r>
              <w:rPr/>
              <w:t> </w:t>
            </w:r>
          </w:p>
        </w:tc>
      </w:tr>
      <w:tr>
        <w:trPr/>
        <w:tc>
          <w:tcPr>
            <w:tcW w:w="5105" w:type="dxa"/>
            <w:tcBorders/>
            <w:shd w:fill="CCEEFF" w:val="clear"/>
            <w:vAlign w:val="center"/>
          </w:tcPr>
          <w:p>
            <w:pPr>
              <w:pStyle w:val="TableContents"/>
              <w:bidi w:val="0"/>
              <w:spacing w:before="0" w:after="283"/>
              <w:jc w:val="left"/>
              <w:rPr/>
            </w:pPr>
            <w:r>
              <w:rPr/>
              <w:t>Iridium CSAR Awards</w:t>
            </w:r>
          </w:p>
        </w:tc>
        <w:tc>
          <w:tcPr>
            <w:tcW w:w="6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pPr>
            <w:r>
              <w:rPr/>
              <w:t> </w:t>
            </w:r>
          </w:p>
        </w:tc>
        <w:tc>
          <w:tcPr>
            <w:tcW w:w="1210" w:type="dxa"/>
            <w:tcBorders/>
            <w:shd w:fill="CCEEFF" w:val="clear"/>
            <w:vAlign w:val="center"/>
          </w:tcPr>
          <w:p>
            <w:pPr>
              <w:pStyle w:val="TableContents"/>
              <w:bidi w:val="0"/>
              <w:spacing w:before="0" w:after="283"/>
              <w:jc w:val="right"/>
              <w:rPr/>
            </w:pPr>
            <w:r>
              <w:rPr/>
              <w:t>909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pPr>
            <w:r>
              <w:rPr/>
              <w:t> </w:t>
            </w:r>
          </w:p>
        </w:tc>
        <w:tc>
          <w:tcPr>
            <w:tcW w:w="1210" w:type="dxa"/>
            <w:tcBorders/>
            <w:shd w:fill="CCEEFF" w:val="clear"/>
            <w:vAlign w:val="center"/>
          </w:tcPr>
          <w:p>
            <w:pPr>
              <w:pStyle w:val="TableContents"/>
              <w:bidi w:val="0"/>
              <w:spacing w:before="0" w:after="283"/>
              <w:jc w:val="right"/>
              <w:rPr/>
            </w:pPr>
            <w:r>
              <w:rPr/>
              <w:t>2,581</w:t>
            </w:r>
          </w:p>
        </w:tc>
        <w:tc>
          <w:tcPr>
            <w:tcW w:w="75" w:type="dxa"/>
            <w:tcBorders/>
            <w:shd w:fill="CCEEFF" w:val="clear"/>
            <w:vAlign w:val="center"/>
          </w:tcPr>
          <w:p>
            <w:pPr>
              <w:pStyle w:val="TableContents"/>
              <w:bidi w:val="0"/>
              <w:spacing w:before="0" w:after="283"/>
              <w:jc w:val="left"/>
              <w:rPr/>
            </w:pPr>
            <w:r>
              <w:rPr/>
              <w:t> </w:t>
            </w:r>
          </w:p>
        </w:tc>
      </w:tr>
      <w:tr>
        <w:trPr/>
        <w:tc>
          <w:tcPr>
            <w:tcW w:w="5105" w:type="dxa"/>
            <w:tcBorders/>
            <w:shd w:fill="FFFFFF" w:val="clear"/>
            <w:vAlign w:val="center"/>
          </w:tcPr>
          <w:p>
            <w:pPr>
              <w:pStyle w:val="TableContents"/>
              <w:bidi w:val="0"/>
              <w:spacing w:before="0" w:after="283"/>
              <w:jc w:val="left"/>
              <w:rPr/>
            </w:pPr>
            <w:r>
              <w:rPr/>
              <w:t>Iridium Option Awards</w:t>
            </w:r>
          </w:p>
        </w:tc>
        <w:tc>
          <w:tcPr>
            <w:tcW w:w="60" w:type="dxa"/>
            <w:tcBorders/>
            <w:shd w:fill="FFFFFF" w:val="clear"/>
            <w:vAlign w:val="center"/>
          </w:tcPr>
          <w:p>
            <w:pPr>
              <w:pStyle w:val="TableContents"/>
              <w:bidi w:val="0"/>
              <w:spacing w:before="0" w:after="283"/>
              <w:jc w:val="left"/>
              <w:rPr/>
            </w:pPr>
            <w:r>
              <w:rPr/>
              <w:t> </w:t>
            </w:r>
          </w:p>
        </w:tc>
        <w:tc>
          <w:tcPr>
            <w:tcW w:w="24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1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10" w:type="dxa"/>
            <w:tcBorders>
              <w:bottom w:val="single" w:sz="8" w:space="0" w:color="000000"/>
            </w:tcBorders>
            <w:shd w:fill="FFFFFF" w:val="clear"/>
            <w:tcMar>
              <w:bottom w:w="28" w:type="dxa"/>
            </w:tcMar>
            <w:vAlign w:val="center"/>
          </w:tcPr>
          <w:p>
            <w:pPr>
              <w:pStyle w:val="TableContents"/>
              <w:bidi w:val="0"/>
              <w:spacing w:before="0" w:after="283"/>
              <w:jc w:val="right"/>
              <w:rPr/>
            </w:pPr>
            <w:r>
              <w:rPr/>
              <w:t>564</w:t>
            </w:r>
          </w:p>
        </w:tc>
        <w:tc>
          <w:tcPr>
            <w:tcW w:w="75" w:type="dxa"/>
            <w:tcBorders/>
            <w:shd w:fill="FFFFFF" w:val="clear"/>
            <w:vAlign w:val="center"/>
          </w:tcPr>
          <w:p>
            <w:pPr>
              <w:pStyle w:val="TableContents"/>
              <w:bidi w:val="0"/>
              <w:spacing w:before="0" w:after="283"/>
              <w:jc w:val="left"/>
              <w:rPr/>
            </w:pPr>
            <w:r>
              <w:rPr/>
              <w:t> </w:t>
            </w:r>
          </w:p>
        </w:tc>
      </w:tr>
      <w:tr>
        <w:trPr/>
        <w:tc>
          <w:tcPr>
            <w:tcW w:w="5105" w:type="dxa"/>
            <w:tcBorders/>
            <w:shd w:fill="CCEEFF" w:val="clear"/>
            <w:vAlign w:val="center"/>
          </w:tcPr>
          <w:p>
            <w:pPr>
              <w:pStyle w:val="TableContents"/>
              <w:bidi w:val="0"/>
              <w:spacing w:before="0" w:after="283"/>
              <w:jc w:val="left"/>
              <w:rPr/>
            </w:pPr>
            <w:r>
              <w:rPr/>
              <w:t>Total pro forma adjustment</w:t>
            </w:r>
          </w:p>
        </w:tc>
        <w:tc>
          <w:tcPr>
            <w:tcW w:w="60" w:type="dxa"/>
            <w:tcBorders/>
            <w:shd w:fill="CCEEFF" w:val="clear"/>
            <w:vAlign w:val="center"/>
          </w:tcPr>
          <w:p>
            <w:pPr>
              <w:pStyle w:val="TableContents"/>
              <w:bidi w:val="0"/>
              <w:spacing w:before="0" w:after="283"/>
              <w:jc w:val="left"/>
              <w:rPr/>
            </w:pPr>
            <w:r>
              <w:rPr/>
              <w:t> </w:t>
            </w:r>
          </w:p>
        </w:tc>
        <w:tc>
          <w:tcPr>
            <w:tcW w:w="24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10" w:type="dxa"/>
            <w:tcBorders>
              <w:bottom w:val="double" w:sz="6" w:space="0" w:color="000000"/>
            </w:tcBorders>
            <w:shd w:fill="CCEEFF" w:val="clear"/>
            <w:tcMar>
              <w:bottom w:w="28" w:type="dxa"/>
            </w:tcMar>
            <w:vAlign w:val="center"/>
          </w:tcPr>
          <w:p>
            <w:pPr>
              <w:pStyle w:val="TableContents"/>
              <w:bidi w:val="0"/>
              <w:spacing w:before="0" w:after="283"/>
              <w:jc w:val="right"/>
              <w:rPr/>
            </w:pPr>
            <w:r>
              <w:rPr/>
              <w:t>26,795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10" w:type="dxa"/>
            <w:tcBorders>
              <w:bottom w:val="double" w:sz="6" w:space="0" w:color="000000"/>
            </w:tcBorders>
            <w:shd w:fill="CCEEFF" w:val="clear"/>
            <w:tcMar>
              <w:bottom w:w="28" w:type="dxa"/>
            </w:tcMar>
            <w:vAlign w:val="center"/>
          </w:tcPr>
          <w:p>
            <w:pPr>
              <w:pStyle w:val="TableContents"/>
              <w:bidi w:val="0"/>
              <w:spacing w:before="0" w:after="283"/>
              <w:jc w:val="right"/>
              <w:rPr/>
            </w:pPr>
            <w:r>
              <w:rPr/>
              <w:t>66,060</w:t>
            </w:r>
          </w:p>
        </w:tc>
        <w:tc>
          <w:tcPr>
            <w:tcW w:w="75" w:type="dxa"/>
            <w:tcBorders/>
            <w:shd w:fill="CCEEFF" w:val="clear"/>
            <w:vAlign w:val="center"/>
          </w:tcPr>
          <w:p>
            <w:pPr>
              <w:pStyle w:val="TableContents"/>
              <w:bidi w:val="0"/>
              <w:spacing w:before="0" w:after="283"/>
              <w:jc w:val="left"/>
              <w:rPr/>
            </w:pPr>
            <w:r>
              <w:rPr/>
              <w:t> </w:t>
            </w:r>
          </w:p>
        </w:tc>
      </w:tr>
    </w:tbl>
    <w:p>
      <w:pPr>
        <w:pStyle w:val="TextBody"/>
        <w:bidi w:val="0"/>
        <w:ind w:left="720" w:right="0" w:hanging="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 based compensation expense recorded in the pro forma statement of operations during the six months ended June 30, 2026 and the year ended December 31, 2025, respectively consisted of the following:</w:t>
      </w:r>
    </w:p>
    <w:p>
      <w:pPr>
        <w:pStyle w:val="TextBody"/>
        <w:bidi w:val="0"/>
        <w:jc w:val="left"/>
        <w:rPr>
          <w:caps w:val="false"/>
          <w:smallCaps w:val="false"/>
        </w:rPr>
      </w:pPr>
      <w:r>
        <w:rPr>
          <w:caps w:val="false"/>
          <w:smallCaps w:val="false"/>
        </w:rPr>
        <w:t> </w:t>
      </w:r>
    </w:p>
    <w:tbl>
      <w:tblPr>
        <w:tblW w:w="6508" w:type="dxa"/>
        <w:jc w:val="left"/>
        <w:tblInd w:w="0" w:type="dxa"/>
        <w:tblLayout w:type="fixed"/>
        <w:tblCellMar>
          <w:top w:w="0" w:type="dxa"/>
          <w:left w:w="0" w:type="dxa"/>
          <w:bottom w:w="0" w:type="dxa"/>
          <w:right w:w="0" w:type="dxa"/>
        </w:tblCellMar>
      </w:tblPr>
      <w:tblGrid>
        <w:gridCol w:w="3290"/>
        <w:gridCol w:w="60"/>
        <w:gridCol w:w="256"/>
        <w:gridCol w:w="1248"/>
        <w:gridCol w:w="60"/>
        <w:gridCol w:w="60"/>
        <w:gridCol w:w="249"/>
        <w:gridCol w:w="1210"/>
        <w:gridCol w:w="75"/>
      </w:tblGrid>
      <w:tr>
        <w:trPr/>
        <w:tc>
          <w:tcPr>
            <w:tcW w:w="3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4"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 xml:space="preserve">Six Months Ended </w:t>
            </w:r>
          </w:p>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June 30,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9"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 xml:space="preserve">Year Ended </w:t>
            </w:r>
          </w:p>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December 31, 2025</w:t>
            </w:r>
          </w:p>
        </w:tc>
        <w:tc>
          <w:tcPr>
            <w:tcW w:w="75" w:type="dxa"/>
            <w:tcBorders/>
            <w:vAlign w:val="center"/>
          </w:tcPr>
          <w:p>
            <w:pPr>
              <w:pStyle w:val="TableContents"/>
              <w:bidi w:val="0"/>
              <w:spacing w:before="0" w:after="283"/>
              <w:jc w:val="left"/>
              <w:rPr/>
            </w:pPr>
            <w:r>
              <w:rPr/>
              <w:t> </w:t>
            </w:r>
          </w:p>
        </w:tc>
      </w:tr>
      <w:tr>
        <w:trPr/>
        <w:tc>
          <w:tcPr>
            <w:tcW w:w="3290" w:type="dxa"/>
            <w:tcBorders/>
            <w:shd w:fill="CCEEFF" w:val="clear"/>
            <w:vAlign w:val="center"/>
          </w:tcPr>
          <w:p>
            <w:pPr>
              <w:pStyle w:val="TableContents"/>
              <w:bidi w:val="0"/>
              <w:spacing w:before="0" w:after="283"/>
              <w:jc w:val="left"/>
              <w:rPr/>
            </w:pPr>
            <w:r>
              <w:rPr/>
              <w:t>Cost of product revenues</w:t>
            </w:r>
          </w:p>
        </w:tc>
        <w:tc>
          <w:tcPr>
            <w:tcW w:w="60"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w:t>
            </w:r>
          </w:p>
        </w:tc>
        <w:tc>
          <w:tcPr>
            <w:tcW w:w="1248" w:type="dxa"/>
            <w:tcBorders/>
            <w:shd w:fill="CCEEFF" w:val="clear"/>
            <w:vAlign w:val="center"/>
          </w:tcPr>
          <w:p>
            <w:pPr>
              <w:pStyle w:val="TableContents"/>
              <w:bidi w:val="0"/>
              <w:spacing w:before="0" w:after="283"/>
              <w:jc w:val="right"/>
              <w:rPr/>
            </w:pPr>
            <w:r>
              <w:rPr/>
              <w:t>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pPr>
            <w:r>
              <w:rPr/>
              <w:t>$</w:t>
            </w:r>
          </w:p>
        </w:tc>
        <w:tc>
          <w:tcPr>
            <w:tcW w:w="1210" w:type="dxa"/>
            <w:tcBorders/>
            <w:shd w:fill="CCEEFF" w:val="clear"/>
            <w:vAlign w:val="center"/>
          </w:tcPr>
          <w:p>
            <w:pPr>
              <w:pStyle w:val="TableContents"/>
              <w:bidi w:val="0"/>
              <w:spacing w:before="0" w:after="283"/>
              <w:jc w:val="right"/>
              <w:rPr/>
            </w:pPr>
            <w:r>
              <w:rPr/>
              <w:t>32</w:t>
            </w:r>
          </w:p>
        </w:tc>
        <w:tc>
          <w:tcPr>
            <w:tcW w:w="75" w:type="dxa"/>
            <w:tcBorders/>
            <w:shd w:fill="CCEEFF" w:val="clear"/>
            <w:vAlign w:val="center"/>
          </w:tcPr>
          <w:p>
            <w:pPr>
              <w:pStyle w:val="TableContents"/>
              <w:bidi w:val="0"/>
              <w:spacing w:before="0" w:after="283"/>
              <w:jc w:val="left"/>
              <w:rPr/>
            </w:pPr>
            <w:r>
              <w:rPr/>
              <w:t> </w:t>
            </w:r>
          </w:p>
        </w:tc>
      </w:tr>
      <w:tr>
        <w:trPr/>
        <w:tc>
          <w:tcPr>
            <w:tcW w:w="3290" w:type="dxa"/>
            <w:tcBorders/>
            <w:shd w:fill="FFFFFF" w:val="clear"/>
            <w:vAlign w:val="center"/>
          </w:tcPr>
          <w:p>
            <w:pPr>
              <w:pStyle w:val="TableContents"/>
              <w:bidi w:val="0"/>
              <w:spacing w:before="0" w:after="283"/>
              <w:jc w:val="left"/>
              <w:rPr/>
            </w:pPr>
            <w:r>
              <w:rPr/>
              <w:t>Cost of service revenues</w:t>
            </w:r>
          </w:p>
        </w:tc>
        <w:tc>
          <w:tcPr>
            <w:tcW w:w="60"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1248" w:type="dxa"/>
            <w:tcBorders/>
            <w:shd w:fill="FFFFFF" w:val="clear"/>
            <w:vAlign w:val="center"/>
          </w:tcPr>
          <w:p>
            <w:pPr>
              <w:pStyle w:val="TableContents"/>
              <w:bidi w:val="0"/>
              <w:spacing w:before="0" w:after="283"/>
              <w:jc w:val="right"/>
              <w:rPr/>
            </w:pPr>
            <w:r>
              <w:rPr/>
              <w:t>7,164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1210" w:type="dxa"/>
            <w:tcBorders/>
            <w:shd w:fill="FFFFFF" w:val="clear"/>
            <w:vAlign w:val="center"/>
          </w:tcPr>
          <w:p>
            <w:pPr>
              <w:pStyle w:val="TableContents"/>
              <w:bidi w:val="0"/>
              <w:spacing w:before="0" w:after="283"/>
              <w:jc w:val="right"/>
              <w:rPr/>
            </w:pPr>
            <w:r>
              <w:rPr/>
              <w:t>26,111</w:t>
            </w:r>
          </w:p>
        </w:tc>
        <w:tc>
          <w:tcPr>
            <w:tcW w:w="75" w:type="dxa"/>
            <w:tcBorders/>
            <w:shd w:fill="FFFFFF" w:val="clear"/>
            <w:vAlign w:val="center"/>
          </w:tcPr>
          <w:p>
            <w:pPr>
              <w:pStyle w:val="TableContents"/>
              <w:bidi w:val="0"/>
              <w:spacing w:before="0" w:after="283"/>
              <w:jc w:val="left"/>
              <w:rPr/>
            </w:pPr>
            <w:r>
              <w:rPr/>
              <w:t> </w:t>
            </w:r>
          </w:p>
        </w:tc>
      </w:tr>
      <w:tr>
        <w:trPr/>
        <w:tc>
          <w:tcPr>
            <w:tcW w:w="3290" w:type="dxa"/>
            <w:tcBorders/>
            <w:shd w:fill="CCEEFF" w:val="clear"/>
            <w:vAlign w:val="center"/>
          </w:tcPr>
          <w:p>
            <w:pPr>
              <w:pStyle w:val="TableContents"/>
              <w:bidi w:val="0"/>
              <w:spacing w:before="0" w:after="283"/>
              <w:jc w:val="left"/>
              <w:rPr/>
            </w:pPr>
            <w:r>
              <w:rPr/>
              <w:t>Research and development, net</w:t>
            </w:r>
          </w:p>
        </w:tc>
        <w:tc>
          <w:tcPr>
            <w:tcW w:w="60"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 </w:t>
            </w:r>
          </w:p>
        </w:tc>
        <w:tc>
          <w:tcPr>
            <w:tcW w:w="1248" w:type="dxa"/>
            <w:tcBorders/>
            <w:shd w:fill="CCEEFF" w:val="clear"/>
            <w:vAlign w:val="center"/>
          </w:tcPr>
          <w:p>
            <w:pPr>
              <w:pStyle w:val="TableContents"/>
              <w:bidi w:val="0"/>
              <w:spacing w:before="0" w:after="283"/>
              <w:jc w:val="right"/>
              <w:rPr/>
            </w:pPr>
            <w:r>
              <w:rPr/>
              <w:t>548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pPr>
            <w:r>
              <w:rPr/>
              <w:t> </w:t>
            </w:r>
          </w:p>
        </w:tc>
        <w:tc>
          <w:tcPr>
            <w:tcW w:w="1210" w:type="dxa"/>
            <w:tcBorders/>
            <w:shd w:fill="CCEEFF" w:val="clear"/>
            <w:vAlign w:val="center"/>
          </w:tcPr>
          <w:p>
            <w:pPr>
              <w:pStyle w:val="TableContents"/>
              <w:bidi w:val="0"/>
              <w:spacing w:before="0" w:after="283"/>
              <w:jc w:val="right"/>
              <w:rPr/>
            </w:pPr>
            <w:r>
              <w:rPr/>
              <w:t>2,317</w:t>
            </w:r>
          </w:p>
        </w:tc>
        <w:tc>
          <w:tcPr>
            <w:tcW w:w="75" w:type="dxa"/>
            <w:tcBorders/>
            <w:shd w:fill="CCEEFF" w:val="clear"/>
            <w:vAlign w:val="center"/>
          </w:tcPr>
          <w:p>
            <w:pPr>
              <w:pStyle w:val="TableContents"/>
              <w:bidi w:val="0"/>
              <w:spacing w:before="0" w:after="283"/>
              <w:jc w:val="left"/>
              <w:rPr/>
            </w:pPr>
            <w:r>
              <w:rPr/>
              <w:t> </w:t>
            </w:r>
          </w:p>
        </w:tc>
      </w:tr>
      <w:tr>
        <w:trPr/>
        <w:tc>
          <w:tcPr>
            <w:tcW w:w="3290" w:type="dxa"/>
            <w:tcBorders/>
            <w:shd w:fill="FFFFFF" w:val="clear"/>
            <w:vAlign w:val="center"/>
          </w:tcPr>
          <w:p>
            <w:pPr>
              <w:pStyle w:val="TableContents"/>
              <w:bidi w:val="0"/>
              <w:spacing w:before="0" w:after="283"/>
              <w:jc w:val="left"/>
              <w:rPr/>
            </w:pPr>
            <w:r>
              <w:rPr/>
              <w:t>Selling, general and administrative</w:t>
            </w:r>
          </w:p>
        </w:tc>
        <w:tc>
          <w:tcPr>
            <w:tcW w:w="60" w:type="dxa"/>
            <w:tcBorders/>
            <w:shd w:fill="FFFFFF" w:val="clear"/>
            <w:vAlign w:val="center"/>
          </w:tcPr>
          <w:p>
            <w:pPr>
              <w:pStyle w:val="TableContents"/>
              <w:bidi w:val="0"/>
              <w:spacing w:before="0" w:after="283"/>
              <w:jc w:val="left"/>
              <w:rPr/>
            </w:pPr>
            <w:r>
              <w:rPr/>
              <w:t> </w:t>
            </w:r>
          </w:p>
        </w:tc>
        <w:tc>
          <w:tcPr>
            <w:tcW w:w="25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48" w:type="dxa"/>
            <w:tcBorders>
              <w:bottom w:val="single" w:sz="8" w:space="0" w:color="000000"/>
            </w:tcBorders>
            <w:shd w:fill="FFFFFF" w:val="clear"/>
            <w:tcMar>
              <w:bottom w:w="28" w:type="dxa"/>
            </w:tcMar>
            <w:vAlign w:val="center"/>
          </w:tcPr>
          <w:p>
            <w:pPr>
              <w:pStyle w:val="TableContents"/>
              <w:bidi w:val="0"/>
              <w:spacing w:before="0" w:after="283"/>
              <w:jc w:val="right"/>
              <w:rPr/>
            </w:pPr>
            <w:r>
              <w:rPr/>
              <w:t>19,077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10" w:type="dxa"/>
            <w:tcBorders>
              <w:bottom w:val="single" w:sz="8" w:space="0" w:color="000000"/>
            </w:tcBorders>
            <w:shd w:fill="FFFFFF" w:val="clear"/>
            <w:tcMar>
              <w:bottom w:w="28" w:type="dxa"/>
            </w:tcMar>
            <w:vAlign w:val="center"/>
          </w:tcPr>
          <w:p>
            <w:pPr>
              <w:pStyle w:val="TableContents"/>
              <w:bidi w:val="0"/>
              <w:spacing w:before="0" w:after="283"/>
              <w:jc w:val="right"/>
              <w:rPr/>
            </w:pPr>
            <w:r>
              <w:rPr/>
              <w:t>37,600</w:t>
            </w:r>
          </w:p>
        </w:tc>
        <w:tc>
          <w:tcPr>
            <w:tcW w:w="75" w:type="dxa"/>
            <w:tcBorders/>
            <w:shd w:fill="FFFFFF" w:val="clear"/>
            <w:vAlign w:val="center"/>
          </w:tcPr>
          <w:p>
            <w:pPr>
              <w:pStyle w:val="TableContents"/>
              <w:bidi w:val="0"/>
              <w:spacing w:before="0" w:after="283"/>
              <w:jc w:val="left"/>
              <w:rPr/>
            </w:pPr>
            <w:r>
              <w:rPr/>
              <w:t> </w:t>
            </w:r>
          </w:p>
        </w:tc>
      </w:tr>
      <w:tr>
        <w:trPr/>
        <w:tc>
          <w:tcPr>
            <w:tcW w:w="3290" w:type="dxa"/>
            <w:tcBorders/>
            <w:shd w:fill="CCEEFF" w:val="clear"/>
            <w:vAlign w:val="center"/>
          </w:tcPr>
          <w:p>
            <w:pPr>
              <w:pStyle w:val="TableContents"/>
              <w:bidi w:val="0"/>
              <w:spacing w:before="0" w:after="283"/>
              <w:jc w:val="left"/>
              <w:rPr/>
            </w:pPr>
            <w:r>
              <w:rPr/>
              <w:t>Total pro forma adjustment</w:t>
            </w:r>
          </w:p>
        </w:tc>
        <w:tc>
          <w:tcPr>
            <w:tcW w:w="60" w:type="dxa"/>
            <w:tcBorders/>
            <w:shd w:fill="CCEEFF" w:val="clear"/>
            <w:vAlign w:val="center"/>
          </w:tcPr>
          <w:p>
            <w:pPr>
              <w:pStyle w:val="TableContents"/>
              <w:bidi w:val="0"/>
              <w:spacing w:before="0" w:after="283"/>
              <w:jc w:val="left"/>
              <w:rPr/>
            </w:pPr>
            <w:r>
              <w:rPr/>
              <w:t> </w:t>
            </w:r>
          </w:p>
        </w:tc>
        <w:tc>
          <w:tcPr>
            <w:tcW w:w="25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48" w:type="dxa"/>
            <w:tcBorders>
              <w:bottom w:val="double" w:sz="6" w:space="0" w:color="000000"/>
            </w:tcBorders>
            <w:shd w:fill="CCEEFF" w:val="clear"/>
            <w:tcMar>
              <w:bottom w:w="28" w:type="dxa"/>
            </w:tcMar>
            <w:vAlign w:val="center"/>
          </w:tcPr>
          <w:p>
            <w:pPr>
              <w:pStyle w:val="TableContents"/>
              <w:bidi w:val="0"/>
              <w:spacing w:before="0" w:after="283"/>
              <w:jc w:val="right"/>
              <w:rPr/>
            </w:pPr>
            <w:r>
              <w:rPr/>
              <w:t>26,795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10" w:type="dxa"/>
            <w:tcBorders>
              <w:bottom w:val="double" w:sz="6" w:space="0" w:color="000000"/>
            </w:tcBorders>
            <w:shd w:fill="CCEEFF" w:val="clear"/>
            <w:tcMar>
              <w:bottom w:w="28" w:type="dxa"/>
            </w:tcMar>
            <w:vAlign w:val="center"/>
          </w:tcPr>
          <w:p>
            <w:pPr>
              <w:pStyle w:val="TableContents"/>
              <w:bidi w:val="0"/>
              <w:spacing w:before="0" w:after="283"/>
              <w:jc w:val="right"/>
              <w:rPr/>
            </w:pPr>
            <w:r>
              <w:rPr/>
              <w:t>66,060</w:t>
            </w:r>
          </w:p>
        </w:tc>
        <w:tc>
          <w:tcPr>
            <w:tcW w:w="75" w:type="dxa"/>
            <w:tcBorders/>
            <w:shd w:fill="CCEEFF" w:val="clear"/>
            <w:vAlign w:val="center"/>
          </w:tcPr>
          <w:p>
            <w:pPr>
              <w:pStyle w:val="TableContents"/>
              <w:bidi w:val="0"/>
              <w:spacing w:before="0" w:after="283"/>
              <w:jc w:val="left"/>
              <w:rPr/>
            </w:pPr>
            <w:r>
              <w:rPr/>
              <w:t> </w:t>
            </w:r>
          </w:p>
        </w:tc>
      </w:tr>
    </w:tbl>
    <w:p>
      <w:pPr>
        <w:pStyle w:val="TextBody"/>
        <w:bidi w:val="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0"/>
        <w:gridCol w:w="993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k.</w:t>
            </w:r>
          </w:p>
        </w:tc>
        <w:tc>
          <w:tcPr>
            <w:tcW w:w="9930" w:type="dxa"/>
            <w:tcBorders/>
            <w:vAlign w:val="center"/>
          </w:tcPr>
          <w:p>
            <w:pPr>
              <w:pStyle w:val="TableContents"/>
              <w:bidi w:val="0"/>
              <w:spacing w:before="0" w:after="283"/>
              <w:jc w:val="both"/>
              <w:rPr/>
            </w:pPr>
            <w:r>
              <w:rPr/>
              <w:t>Reflects the accrual of estimated Mergers costs of $21,000 for the six months ended June 30, 2026 and $190,883 for the year ended December 31, 2025 related to advisory, legal, and other professional fees.</w:t>
            </w:r>
          </w:p>
        </w:tc>
      </w:tr>
    </w:tbl>
    <w:p>
      <w:pPr>
        <w:pStyle w:val="TextBody"/>
        <w:bidi w:val="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0"/>
        <w:gridCol w:w="9990"/>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l.</w:t>
            </w:r>
          </w:p>
        </w:tc>
        <w:tc>
          <w:tcPr>
            <w:tcW w:w="9990" w:type="dxa"/>
            <w:tcBorders/>
            <w:vAlign w:val="center"/>
          </w:tcPr>
          <w:p>
            <w:pPr>
              <w:pStyle w:val="TableContents"/>
              <w:bidi w:val="0"/>
              <w:spacing w:before="0" w:after="283"/>
              <w:jc w:val="both"/>
              <w:rPr/>
            </w:pPr>
            <w:r>
              <w:rPr/>
              <w:t>Reflects the elimination of historical interest expense of $41,859 for the six months ended June 30, 2026 and $93,529 for the year ended December 31, 2025 associated with Iridium’s debt obligations, which are extinguished as part of the Mergers. The adjustment also removes the historical amortization of deferred financing costs for the debt obligations and impacts of the associated interest rate cap.</w:t>
            </w:r>
          </w:p>
        </w:tc>
      </w:tr>
    </w:tbl>
    <w:p>
      <w:pPr>
        <w:pStyle w:val="TextBody"/>
        <w:bidi w:val="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60"/>
        <w:gridCol w:w="9870"/>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m.</w:t>
            </w:r>
          </w:p>
        </w:tc>
        <w:tc>
          <w:tcPr>
            <w:tcW w:w="9870" w:type="dxa"/>
            <w:tcBorders/>
            <w:vAlign w:val="center"/>
          </w:tcPr>
          <w:p>
            <w:pPr>
              <w:pStyle w:val="TableContents"/>
              <w:bidi w:val="0"/>
              <w:spacing w:before="0" w:after="283"/>
              <w:jc w:val="both"/>
              <w:rPr/>
            </w:pPr>
            <w:r>
              <w:rPr/>
              <w:t>Reflects the income tax effect of the pro forma adjustments, including the release of Rocket Lab’s historical U.S. valuation allowance, which is equal to the U.S. valuation allowance disclosed in the Company’s 2024 Annual Report on Form 10-K. Iridium’s pro forma adjustments were calculated using a blended 23.24% U.S. federal, state, and local statutory tax rate, net of the federal tax benefit. The total pro forma income tax impact also includes a tax benefit related to Rocket Lab’s 2025 U.S. activity, calculated using a 24% statutory tax rate. No tax benefit was calculated for third-party transaction costs, pending a complete analysis of deductibility. The effective tax rate of the combined company could differ significantly from what is presented in these unaudited pro forma financial statements for a variety of reasons, including post-acquisition activities.</w:t>
            </w:r>
          </w:p>
        </w:tc>
      </w:tr>
    </w:tbl>
    <w:p>
      <w:pPr>
        <w:pStyle w:val="TextBody"/>
        <w:bidi w:val="0"/>
        <w:ind w:left="720" w:right="0" w:hanging="360"/>
        <w:jc w:val="both"/>
        <w:rPr>
          <w:caps w:val="false"/>
          <w:smallCaps w:val="false"/>
        </w:rPr>
      </w:pPr>
      <w:r>
        <w:rPr>
          <w:caps w:val="false"/>
          <w:smallCaps w:val="false"/>
        </w:rPr>
        <w:t> </w:t>
      </w:r>
    </w:p>
    <w:p>
      <w:pPr>
        <w:pStyle w:val="TextBody"/>
        <w:bidi w:val="0"/>
        <w:spacing w:before="0" w:after="0"/>
        <w:ind w:left="720" w:right="0" w:hanging="36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16</w:t>
      </w:r>
    </w:p>
    <w:p>
      <w:pPr>
        <w:pStyle w:val="TextBody"/>
        <w:bidi w:val="0"/>
        <w:spacing w:before="0" w:after="0"/>
        <w:ind w:left="0" w:right="0" w:hanging="0"/>
        <w:jc w:val="left"/>
        <w:rPr/>
      </w:pPr>
      <w:r>
        <w:rPr/>
        <w:t> </w:t>
      </w:r>
    </w:p>
    <w:p>
      <w:pPr>
        <w:pStyle w:val="TextBody"/>
        <w:bidi w:val="0"/>
        <w:ind w:left="720" w:right="0" w:hanging="360"/>
        <w:jc w:val="both"/>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6 – Financing Adjustments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Adjustments to the Unaudited Pro Forma Condensed Combined Balance Sheet as of June 30, 2026</w:t>
      </w:r>
    </w:p>
    <w:p>
      <w:pPr>
        <w:pStyle w:val="TextBody"/>
        <w:bidi w:val="0"/>
        <w:ind w:left="720" w:right="0" w:hanging="360"/>
        <w:jc w:val="both"/>
        <w:rPr>
          <w:caps w:val="false"/>
          <w:smallCaps w:val="false"/>
        </w:rPr>
      </w:pPr>
      <w:r>
        <w:rPr>
          <w:caps w:val="false"/>
          <w:smallCaps w:val="false"/>
        </w:rPr>
        <w:t> </w:t>
      </w:r>
    </w:p>
    <w:tbl>
      <w:tblPr>
        <w:tblW w:w="9910" w:type="dxa"/>
        <w:jc w:val="left"/>
        <w:tblInd w:w="0" w:type="dxa"/>
        <w:tblLayout w:type="fixed"/>
        <w:tblCellMar>
          <w:top w:w="0" w:type="dxa"/>
          <w:left w:w="0" w:type="dxa"/>
          <w:bottom w:w="0" w:type="dxa"/>
          <w:right w:w="0" w:type="dxa"/>
        </w:tblCellMar>
      </w:tblPr>
      <w:tblGrid>
        <w:gridCol w:w="75"/>
        <w:gridCol w:w="185"/>
        <w:gridCol w:w="9650"/>
      </w:tblGrid>
      <w:tr>
        <w:trPr/>
        <w:tc>
          <w:tcPr>
            <w:tcW w:w="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a.</w:t>
            </w:r>
          </w:p>
        </w:tc>
        <w:tc>
          <w:tcPr>
            <w:tcW w:w="9650" w:type="dxa"/>
            <w:tcBorders/>
            <w:vAlign w:val="center"/>
          </w:tcPr>
          <w:p>
            <w:pPr>
              <w:pStyle w:val="TableContents"/>
              <w:bidi w:val="0"/>
              <w:spacing w:before="0" w:after="283"/>
              <w:jc w:val="both"/>
              <w:rPr/>
            </w:pPr>
            <w:r>
              <w:rPr/>
              <w:t>The table below reflects the adjustments to cash and cash equivalents for the following (in thousands):</w:t>
            </w:r>
          </w:p>
        </w:tc>
      </w:tr>
    </w:tbl>
    <w:p>
      <w:pPr>
        <w:pStyle w:val="TextBody"/>
        <w:bidi w:val="0"/>
        <w:ind w:left="720" w:right="0" w:hanging="0"/>
        <w:jc w:val="both"/>
        <w:rPr>
          <w:caps w:val="false"/>
          <w:smallCaps w:val="false"/>
        </w:rPr>
      </w:pPr>
      <w:r>
        <w:rPr>
          <w:caps w:val="false"/>
          <w:smallCaps w:val="false"/>
        </w:rPr>
        <w:t> </w:t>
      </w:r>
    </w:p>
    <w:tbl>
      <w:tblPr>
        <w:tblW w:w="4760" w:type="dxa"/>
        <w:jc w:val="left"/>
        <w:tblInd w:w="0" w:type="dxa"/>
        <w:tblLayout w:type="fixed"/>
        <w:tblCellMar>
          <w:top w:w="0" w:type="dxa"/>
          <w:left w:w="0" w:type="dxa"/>
          <w:bottom w:w="28" w:type="dxa"/>
          <w:right w:w="0" w:type="dxa"/>
        </w:tblCellMar>
      </w:tblPr>
      <w:tblGrid>
        <w:gridCol w:w="3470"/>
        <w:gridCol w:w="60"/>
        <w:gridCol w:w="140"/>
        <w:gridCol w:w="980"/>
        <w:gridCol w:w="110"/>
      </w:tblGrid>
      <w:tr>
        <w:trPr/>
        <w:tc>
          <w:tcPr>
            <w:tcW w:w="3470" w:type="dxa"/>
            <w:tcBorders>
              <w:bottom w:val="single" w:sz="8" w:space="0" w:color="000000"/>
            </w:tcBorders>
            <w:vAlign w:val="center"/>
          </w:tcPr>
          <w:p>
            <w:pPr>
              <w:pStyle w:val="TableContents"/>
              <w:bidi w:val="0"/>
              <w:spacing w:before="0" w:after="283"/>
              <w:jc w:val="left"/>
              <w:rPr>
                <w:b/>
                <w:sz w:val="18"/>
              </w:rPr>
            </w:pPr>
            <w:r>
              <w:rPr>
                <w:b/>
                <w:sz w:val="18"/>
              </w:rPr>
              <w:t>Description</w:t>
            </w:r>
          </w:p>
        </w:tc>
        <w:tc>
          <w:tcPr>
            <w:tcW w:w="60" w:type="dxa"/>
            <w:tcBorders/>
            <w:tcMar>
              <w:bottom w:w="0" w:type="dxa"/>
            </w:tcMar>
            <w:vAlign w:val="center"/>
          </w:tcPr>
          <w:p>
            <w:pPr>
              <w:pStyle w:val="TableContents"/>
              <w:bidi w:val="0"/>
              <w:spacing w:before="0" w:after="283"/>
              <w:jc w:val="left"/>
              <w:rPr/>
            </w:pPr>
            <w:r>
              <w:rPr/>
              <w:t> </w:t>
            </w:r>
          </w:p>
        </w:tc>
        <w:tc>
          <w:tcPr>
            <w:tcW w:w="1120" w:type="dxa"/>
            <w:gridSpan w:val="2"/>
            <w:tcBorders>
              <w:bottom w:val="single" w:sz="8" w:space="0" w:color="000000"/>
            </w:tcBorders>
            <w:vAlign w:val="center"/>
          </w:tcPr>
          <w:p>
            <w:pPr>
              <w:pStyle w:val="TableContents"/>
              <w:bidi w:val="0"/>
              <w:spacing w:before="0" w:after="283"/>
              <w:jc w:val="center"/>
              <w:rPr>
                <w:b/>
                <w:sz w:val="18"/>
              </w:rPr>
            </w:pPr>
            <w:r>
              <w:rPr>
                <w:b/>
                <w:sz w:val="18"/>
              </w:rPr>
              <w:t>Amount</w:t>
            </w:r>
          </w:p>
        </w:tc>
        <w:tc>
          <w:tcPr>
            <w:tcW w:w="110" w:type="dxa"/>
            <w:tcBorders/>
            <w:tcMar>
              <w:bottom w:w="0" w:type="dxa"/>
            </w:tcMar>
            <w:vAlign w:val="center"/>
          </w:tcPr>
          <w:p>
            <w:pPr>
              <w:pStyle w:val="TableContents"/>
              <w:bidi w:val="0"/>
              <w:spacing w:before="0" w:after="283"/>
              <w:jc w:val="left"/>
              <w:rPr/>
            </w:pPr>
            <w:r>
              <w:rPr/>
              <w:t> </w:t>
            </w:r>
          </w:p>
        </w:tc>
      </w:tr>
      <w:tr>
        <w:trPr/>
        <w:tc>
          <w:tcPr>
            <w:tcW w:w="3470" w:type="dxa"/>
            <w:tcBorders/>
            <w:shd w:fill="CCEEFF" w:val="clear"/>
            <w:tcMar>
              <w:bottom w:w="0" w:type="dxa"/>
            </w:tcMar>
            <w:vAlign w:val="center"/>
          </w:tcPr>
          <w:p>
            <w:pPr>
              <w:pStyle w:val="TableContents"/>
              <w:bidi w:val="0"/>
              <w:spacing w:before="0" w:after="283"/>
              <w:jc w:val="left"/>
              <w:rPr/>
            </w:pPr>
            <w:r>
              <w:rPr/>
              <w:t>Gross proceeds from Bridge Facility</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980" w:type="dxa"/>
            <w:tcBorders/>
            <w:shd w:fill="CCEEFF" w:val="clear"/>
            <w:tcMar>
              <w:bottom w:w="0" w:type="dxa"/>
            </w:tcMar>
            <w:vAlign w:val="center"/>
          </w:tcPr>
          <w:p>
            <w:pPr>
              <w:pStyle w:val="TableContents"/>
              <w:bidi w:val="0"/>
              <w:spacing w:before="0" w:after="283"/>
              <w:jc w:val="right"/>
              <w:rPr/>
            </w:pPr>
            <w:r>
              <w:rPr/>
              <w:t>3,600,000</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3470" w:type="dxa"/>
            <w:tcBorders/>
            <w:shd w:fill="FFFFFF" w:val="clear"/>
            <w:tcMar>
              <w:bottom w:w="0" w:type="dxa"/>
            </w:tcMar>
            <w:vAlign w:val="center"/>
          </w:tcPr>
          <w:p>
            <w:pPr>
              <w:pStyle w:val="TableContents"/>
              <w:bidi w:val="0"/>
              <w:spacing w:before="0" w:after="283"/>
              <w:jc w:val="left"/>
              <w:rPr/>
            </w:pPr>
            <w:r>
              <w:rPr/>
              <w:t>Less: Bridge Facility issuance costs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980" w:type="dxa"/>
            <w:tcBorders>
              <w:bottom w:val="single" w:sz="8" w:space="0" w:color="000000"/>
            </w:tcBorders>
            <w:shd w:fill="FFFFFF" w:val="clear"/>
            <w:vAlign w:val="center"/>
          </w:tcPr>
          <w:p>
            <w:pPr>
              <w:pStyle w:val="TableContents"/>
              <w:bidi w:val="0"/>
              <w:spacing w:before="0" w:after="283"/>
              <w:jc w:val="right"/>
              <w:rPr/>
            </w:pPr>
            <w:r>
              <w:rPr/>
              <w:t>(25,660</w:t>
            </w:r>
          </w:p>
        </w:tc>
        <w:tc>
          <w:tcPr>
            <w:tcW w:w="110" w:type="dxa"/>
            <w:tcBorders/>
            <w:shd w:fill="FFFFFF" w:val="clear"/>
            <w:tcMar>
              <w:bottom w:w="0" w:type="dxa"/>
            </w:tcMar>
            <w:vAlign w:val="center"/>
          </w:tcPr>
          <w:p>
            <w:pPr>
              <w:pStyle w:val="TableContents"/>
              <w:bidi w:val="0"/>
              <w:spacing w:before="0" w:after="283"/>
              <w:jc w:val="left"/>
              <w:rPr/>
            </w:pPr>
            <w:r>
              <w:rPr/>
              <w:t>)</w:t>
            </w:r>
          </w:p>
        </w:tc>
      </w:tr>
      <w:tr>
        <w:trPr/>
        <w:tc>
          <w:tcPr>
            <w:tcW w:w="3470" w:type="dxa"/>
            <w:tcBorders/>
            <w:shd w:fill="CCEEFF" w:val="clear"/>
            <w:tcMar>
              <w:bottom w:w="0" w:type="dxa"/>
            </w:tcMar>
            <w:vAlign w:val="center"/>
          </w:tcPr>
          <w:p>
            <w:pPr>
              <w:pStyle w:val="TableContents"/>
              <w:bidi w:val="0"/>
              <w:spacing w:before="0" w:after="283"/>
              <w:jc w:val="left"/>
              <w:rPr/>
            </w:pPr>
            <w:r>
              <w:rPr/>
              <w:t>Total pro forma adjustment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CCEEFF" w:val="clear"/>
            <w:vAlign w:val="center"/>
          </w:tcPr>
          <w:p>
            <w:pPr>
              <w:pStyle w:val="TableContents"/>
              <w:bidi w:val="0"/>
              <w:spacing w:before="0" w:after="283"/>
              <w:jc w:val="left"/>
              <w:rPr/>
            </w:pPr>
            <w:r>
              <w:rPr/>
              <w:t>$</w:t>
            </w:r>
          </w:p>
        </w:tc>
        <w:tc>
          <w:tcPr>
            <w:tcW w:w="980" w:type="dxa"/>
            <w:tcBorders>
              <w:bottom w:val="double" w:sz="6" w:space="0" w:color="000000"/>
            </w:tcBorders>
            <w:shd w:fill="CCEEFF" w:val="clear"/>
            <w:vAlign w:val="center"/>
          </w:tcPr>
          <w:p>
            <w:pPr>
              <w:pStyle w:val="TableContents"/>
              <w:bidi w:val="0"/>
              <w:spacing w:before="0" w:after="283"/>
              <w:jc w:val="right"/>
              <w:rPr/>
            </w:pPr>
            <w:r>
              <w:rPr/>
              <w:t>3,574,340</w:t>
            </w:r>
          </w:p>
        </w:tc>
        <w:tc>
          <w:tcPr>
            <w:tcW w:w="110"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ind w:left="720" w:right="0" w:hanging="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deferred issuance costs are presented as a direct deduction from the related debt balance. As a result, the pro forma balance sheet reflects Bridge Facility, net of $3,574,340.</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Adjustments to the Unaudited Pro Forma Consolidated Statement of Operations for the six months ended June 30, 2026 and year ended December 31, 2025</w:t>
      </w:r>
    </w:p>
    <w:p>
      <w:pPr>
        <w:pStyle w:val="TextBody"/>
        <w:bidi w:val="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0"/>
        <w:gridCol w:w="993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b.</w:t>
            </w:r>
          </w:p>
        </w:tc>
        <w:tc>
          <w:tcPr>
            <w:tcW w:w="9930" w:type="dxa"/>
            <w:tcBorders/>
            <w:vAlign w:val="center"/>
          </w:tcPr>
          <w:p>
            <w:pPr>
              <w:pStyle w:val="TableContents"/>
              <w:bidi w:val="0"/>
              <w:spacing w:before="0" w:after="283"/>
              <w:jc w:val="both"/>
              <w:rPr/>
            </w:pPr>
            <w:r>
              <w:rPr/>
              <w:t>The table below reflects the adjustments to interest expense in connection with the expected borrowings under the Bridge Facility:</w:t>
            </w:r>
          </w:p>
        </w:tc>
      </w:tr>
    </w:tbl>
    <w:p>
      <w:pPr>
        <w:pStyle w:val="TextBody"/>
        <w:bidi w:val="0"/>
        <w:ind w:left="720" w:right="0" w:hanging="0"/>
        <w:jc w:val="both"/>
        <w:rPr>
          <w:caps w:val="false"/>
          <w:smallCaps w:val="false"/>
        </w:rPr>
      </w:pPr>
      <w:r>
        <w:rPr>
          <w:caps w:val="false"/>
          <w:smallCaps w:val="false"/>
        </w:rPr>
        <w:t> </w:t>
      </w:r>
    </w:p>
    <w:tbl>
      <w:tblPr>
        <w:tblW w:w="7798" w:type="dxa"/>
        <w:jc w:val="left"/>
        <w:tblInd w:w="0" w:type="dxa"/>
        <w:tblLayout w:type="fixed"/>
        <w:tblCellMar>
          <w:top w:w="0" w:type="dxa"/>
          <w:left w:w="0" w:type="dxa"/>
          <w:bottom w:w="0" w:type="dxa"/>
          <w:right w:w="0" w:type="dxa"/>
        </w:tblCellMar>
      </w:tblPr>
      <w:tblGrid>
        <w:gridCol w:w="4580"/>
        <w:gridCol w:w="60"/>
        <w:gridCol w:w="224"/>
        <w:gridCol w:w="1280"/>
        <w:gridCol w:w="60"/>
        <w:gridCol w:w="60"/>
        <w:gridCol w:w="217"/>
        <w:gridCol w:w="1242"/>
        <w:gridCol w:w="75"/>
      </w:tblGrid>
      <w:tr>
        <w:trPr/>
        <w:tc>
          <w:tcPr>
            <w:tcW w:w="45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4"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 xml:space="preserve">Six Months Ended </w:t>
            </w:r>
          </w:p>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June 30,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9"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 xml:space="preserve">Year Ended </w:t>
            </w:r>
          </w:p>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December 31, 2025</w:t>
            </w:r>
          </w:p>
        </w:tc>
        <w:tc>
          <w:tcPr>
            <w:tcW w:w="75" w:type="dxa"/>
            <w:tcBorders/>
            <w:vAlign w:val="center"/>
          </w:tcPr>
          <w:p>
            <w:pPr>
              <w:pStyle w:val="TableContents"/>
              <w:bidi w:val="0"/>
              <w:spacing w:before="0" w:after="283"/>
              <w:jc w:val="left"/>
              <w:rPr/>
            </w:pPr>
            <w:r>
              <w:rPr/>
              <w:t> </w:t>
            </w:r>
          </w:p>
        </w:tc>
      </w:tr>
      <w:tr>
        <w:trPr/>
        <w:tc>
          <w:tcPr>
            <w:tcW w:w="4580" w:type="dxa"/>
            <w:tcBorders/>
            <w:shd w:fill="CCEEFF" w:val="clear"/>
            <w:vAlign w:val="center"/>
          </w:tcPr>
          <w:p>
            <w:pPr>
              <w:pStyle w:val="TableContents"/>
              <w:bidi w:val="0"/>
              <w:spacing w:before="0" w:after="283"/>
              <w:jc w:val="left"/>
              <w:rPr/>
            </w:pPr>
            <w:r>
              <w:rPr/>
              <w:t>Effective interest amortization of Bridge Facility</w:t>
            </w:r>
          </w:p>
        </w:tc>
        <w:tc>
          <w:tcPr>
            <w:tcW w:w="60" w:type="dxa"/>
            <w:tcBorders/>
            <w:shd w:fill="CCEEFF" w:val="clear"/>
            <w:vAlign w:val="center"/>
          </w:tcPr>
          <w:p>
            <w:pPr>
              <w:pStyle w:val="TableContents"/>
              <w:bidi w:val="0"/>
              <w:spacing w:before="0" w:after="283"/>
              <w:jc w:val="left"/>
              <w:rPr/>
            </w:pPr>
            <w:r>
              <w:rPr/>
              <w:t> </w:t>
            </w:r>
          </w:p>
        </w:tc>
        <w:tc>
          <w:tcPr>
            <w:tcW w:w="224"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280" w:type="dxa"/>
            <w:tcBorders>
              <w:bottom w:val="single" w:sz="8" w:space="0" w:color="000000"/>
            </w:tcBorders>
            <w:shd w:fill="CCEEFF" w:val="clear"/>
            <w:tcMar>
              <w:bottom w:w="28" w:type="dxa"/>
            </w:tcMar>
            <w:vAlign w:val="center"/>
          </w:tcPr>
          <w:p>
            <w:pPr>
              <w:pStyle w:val="TableContents"/>
              <w:bidi w:val="0"/>
              <w:spacing w:before="0" w:after="283"/>
              <w:jc w:val="right"/>
              <w:rPr/>
            </w:pPr>
            <w:r>
              <w:rPr/>
              <w:t>141,357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7"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242" w:type="dxa"/>
            <w:tcBorders>
              <w:bottom w:val="single" w:sz="8" w:space="0" w:color="000000"/>
            </w:tcBorders>
            <w:shd w:fill="CCEEFF" w:val="clear"/>
            <w:tcMar>
              <w:bottom w:w="28" w:type="dxa"/>
            </w:tcMar>
            <w:vAlign w:val="center"/>
          </w:tcPr>
          <w:p>
            <w:pPr>
              <w:pStyle w:val="TableContents"/>
              <w:bidi w:val="0"/>
              <w:spacing w:before="0" w:after="283"/>
              <w:jc w:val="right"/>
              <w:rPr/>
            </w:pPr>
            <w:r>
              <w:rPr/>
              <w:t>285,669</w:t>
            </w:r>
          </w:p>
        </w:tc>
        <w:tc>
          <w:tcPr>
            <w:tcW w:w="75" w:type="dxa"/>
            <w:tcBorders/>
            <w:shd w:fill="CCEEFF" w:val="clear"/>
            <w:vAlign w:val="center"/>
          </w:tcPr>
          <w:p>
            <w:pPr>
              <w:pStyle w:val="TableContents"/>
              <w:bidi w:val="0"/>
              <w:spacing w:before="0" w:after="283"/>
              <w:jc w:val="left"/>
              <w:rPr/>
            </w:pPr>
            <w:r>
              <w:rPr/>
              <w:t> </w:t>
            </w:r>
          </w:p>
        </w:tc>
      </w:tr>
      <w:tr>
        <w:trPr/>
        <w:tc>
          <w:tcPr>
            <w:tcW w:w="4580" w:type="dxa"/>
            <w:tcBorders/>
            <w:shd w:fill="FFFFFF" w:val="clear"/>
            <w:vAlign w:val="center"/>
          </w:tcPr>
          <w:p>
            <w:pPr>
              <w:pStyle w:val="TableContents"/>
              <w:bidi w:val="0"/>
              <w:spacing w:before="0" w:after="283"/>
              <w:jc w:val="left"/>
              <w:rPr/>
            </w:pPr>
            <w:r>
              <w:rPr/>
              <w:t>Total pro forma adjustment</w:t>
            </w:r>
          </w:p>
        </w:tc>
        <w:tc>
          <w:tcPr>
            <w:tcW w:w="60" w:type="dxa"/>
            <w:tcBorders/>
            <w:shd w:fill="FFFFFF" w:val="clear"/>
            <w:vAlign w:val="center"/>
          </w:tcPr>
          <w:p>
            <w:pPr>
              <w:pStyle w:val="TableContents"/>
              <w:bidi w:val="0"/>
              <w:spacing w:before="0" w:after="283"/>
              <w:jc w:val="left"/>
              <w:rPr/>
            </w:pPr>
            <w:r>
              <w:rPr/>
              <w:t> </w:t>
            </w:r>
          </w:p>
        </w:tc>
        <w:tc>
          <w:tcPr>
            <w:tcW w:w="224"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80" w:type="dxa"/>
            <w:tcBorders>
              <w:bottom w:val="double" w:sz="6" w:space="0" w:color="000000"/>
            </w:tcBorders>
            <w:shd w:fill="FFFFFF" w:val="clear"/>
            <w:tcMar>
              <w:bottom w:w="28" w:type="dxa"/>
            </w:tcMar>
            <w:vAlign w:val="center"/>
          </w:tcPr>
          <w:p>
            <w:pPr>
              <w:pStyle w:val="TableContents"/>
              <w:bidi w:val="0"/>
              <w:spacing w:before="0" w:after="283"/>
              <w:jc w:val="right"/>
              <w:rPr/>
            </w:pPr>
            <w:r>
              <w:rPr/>
              <w:t>141,357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42" w:type="dxa"/>
            <w:tcBorders>
              <w:bottom w:val="double" w:sz="6" w:space="0" w:color="000000"/>
            </w:tcBorders>
            <w:shd w:fill="FFFFFF" w:val="clear"/>
            <w:tcMar>
              <w:bottom w:w="28" w:type="dxa"/>
            </w:tcMar>
            <w:vAlign w:val="center"/>
          </w:tcPr>
          <w:p>
            <w:pPr>
              <w:pStyle w:val="TableContents"/>
              <w:bidi w:val="0"/>
              <w:spacing w:before="0" w:after="283"/>
              <w:jc w:val="right"/>
              <w:rPr/>
            </w:pPr>
            <w:r>
              <w:rPr/>
              <w:t>285,669</w:t>
            </w:r>
          </w:p>
        </w:tc>
        <w:tc>
          <w:tcPr>
            <w:tcW w:w="75" w:type="dxa"/>
            <w:tcBorders/>
            <w:shd w:fill="FFFFFF" w:val="clear"/>
            <w:vAlign w:val="center"/>
          </w:tcPr>
          <w:p>
            <w:pPr>
              <w:pStyle w:val="TableContents"/>
              <w:bidi w:val="0"/>
              <w:spacing w:before="0" w:after="283"/>
              <w:jc w:val="left"/>
              <w:rPr/>
            </w:pPr>
            <w:r>
              <w:rPr/>
              <w:t> </w:t>
            </w:r>
          </w:p>
        </w:tc>
      </w:tr>
    </w:tbl>
    <w:p>
      <w:pPr>
        <w:pStyle w:val="TextBody"/>
        <w:bidi w:val="0"/>
        <w:ind w:left="720" w:right="0" w:hanging="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the effective interest rate of the Bridge Facility is approximately 8.0%. A change of 0.125% in the annual interest rate would change pro forma Interest expense by approximately $2,252 for the six months ended June 30, 2026 and $4,550 for the year ended December 31, 2025, assuming the full outstanding principal balance of the Bridge Facility remains outstanding.</w:t>
      </w:r>
    </w:p>
    <w:p>
      <w:pPr>
        <w:pStyle w:val="TextBody"/>
        <w:bidi w:val="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85"/>
        <w:gridCol w:w="9945"/>
      </w:tblGrid>
      <w:tr>
        <w:trPr/>
        <w:tc>
          <w:tcPr>
            <w:tcW w:w="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c.</w:t>
            </w:r>
          </w:p>
        </w:tc>
        <w:tc>
          <w:tcPr>
            <w:tcW w:w="9945" w:type="dxa"/>
            <w:tcBorders/>
            <w:vAlign w:val="center"/>
          </w:tcPr>
          <w:p>
            <w:pPr>
              <w:pStyle w:val="TableContents"/>
              <w:bidi w:val="0"/>
              <w:spacing w:before="0" w:after="283"/>
              <w:jc w:val="both"/>
              <w:rPr/>
            </w:pPr>
            <w:r>
              <w:rPr/>
              <w:t>Reflects the income tax effect of the pro forma financing adjustments. The income tax effect was calculated using a blended statutory tax rate of 23.24%, representing the combined U.S. federal, state, and local tax rate, net of the federal benefit associated with state and local income taxes. The effective tax rate of the combined company could differ significantly from what is presented in these unaudited pro forma financial statements for a variety of reasons, including post-acquisition activities.</w:t>
            </w:r>
          </w:p>
        </w:tc>
      </w:tr>
    </w:tbl>
    <w:p>
      <w:pPr>
        <w:pStyle w:val="TextBody"/>
        <w:bidi w:val="0"/>
        <w:ind w:left="720" w:right="0" w:hanging="360"/>
        <w:jc w:val="both"/>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7 – Earnings (Loss) Per Share</w:t>
      </w:r>
    </w:p>
    <w:p>
      <w:pPr>
        <w:pStyle w:val="TextBody"/>
        <w:bidi w:val="0"/>
        <w:ind w:left="0" w:right="0" w:firstLine="540"/>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June 30, 2026, and the year ended December 31, 2025, pro forma combined basic net income (loss) per share is calculated using the historical Rocket Lab weighted average shares outstanding during each period inclusive of the assumed issuance of 41,259,372 and 40,855,184 shares respectively of Rocket Lab Common Stock issued to Iridium stockholders. The shares issued as consideration are assumed to be outstanding at the beginning of the earliest period presented, and are therefore included in the weighted average shares outstanding for all periods presented. For the six months ended June 30, 2026, and the year ended December 31, 2025, there is no difference in the number of shares used to calculate basic and diluted shares outstanding due to the combined pro forma net loss resulting in potentially dilutive shares being anti-dilutive.</w:t>
      </w:r>
    </w:p>
    <w:p>
      <w:pPr>
        <w:pStyle w:val="TextBody"/>
        <w:bidi w:val="0"/>
        <w:ind w:left="0" w:right="0" w:firstLine="540"/>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 forma combined weighted average basic shares outstanding were calculated as follows (in thousands, except number of shares and per share amounts):</w:t>
      </w:r>
    </w:p>
    <w:p>
      <w:pPr>
        <w:pStyle w:val="TextBody"/>
        <w:bidi w:val="0"/>
        <w:ind w:left="0" w:right="0" w:firstLine="540"/>
        <w:jc w:val="both"/>
        <w:rPr>
          <w:caps w:val="false"/>
          <w:smallCaps w:val="false"/>
        </w:rPr>
      </w:pPr>
      <w:r>
        <w:rPr>
          <w:caps w:val="false"/>
          <w:smallCaps w:val="false"/>
        </w:rPr>
        <w:t> </w:t>
      </w:r>
    </w:p>
    <w:tbl>
      <w:tblPr>
        <w:tblW w:w="9575" w:type="dxa"/>
        <w:jc w:val="left"/>
        <w:tblInd w:w="0" w:type="dxa"/>
        <w:tblLayout w:type="fixed"/>
        <w:tblCellMar>
          <w:top w:w="0" w:type="dxa"/>
          <w:left w:w="0" w:type="dxa"/>
          <w:bottom w:w="0" w:type="dxa"/>
          <w:right w:w="0" w:type="dxa"/>
        </w:tblCellMar>
      </w:tblPr>
      <w:tblGrid>
        <w:gridCol w:w="6530"/>
        <w:gridCol w:w="60"/>
        <w:gridCol w:w="140"/>
        <w:gridCol w:w="1220"/>
        <w:gridCol w:w="95"/>
        <w:gridCol w:w="60"/>
        <w:gridCol w:w="140"/>
        <w:gridCol w:w="1220"/>
        <w:gridCol w:w="110"/>
      </w:tblGrid>
      <w:tr>
        <w:trPr/>
        <w:tc>
          <w:tcPr>
            <w:tcW w:w="65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 xml:space="preserve">Six Months </w:t>
            </w:r>
          </w:p>
          <w:p>
            <w:pPr>
              <w:pStyle w:val="TableContents"/>
              <w:bidi w:val="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 xml:space="preserve">Ended June 30, </w:t>
            </w:r>
          </w:p>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 xml:space="preserve">Year Ended </w:t>
            </w:r>
          </w:p>
          <w:p>
            <w:pPr>
              <w:pStyle w:val="TableContents"/>
              <w:bidi w:val="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 xml:space="preserve">December 31, </w:t>
            </w:r>
          </w:p>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2025</w:t>
            </w:r>
          </w:p>
        </w:tc>
        <w:tc>
          <w:tcPr>
            <w:tcW w:w="110" w:type="dxa"/>
            <w:tcBorders/>
            <w:vAlign w:val="center"/>
          </w:tcPr>
          <w:p>
            <w:pPr>
              <w:pStyle w:val="TableContents"/>
              <w:bidi w:val="0"/>
              <w:spacing w:before="0" w:after="283"/>
              <w:jc w:val="left"/>
              <w:rPr/>
            </w:pPr>
            <w:r>
              <w:rPr/>
              <w:t> </w:t>
            </w:r>
          </w:p>
        </w:tc>
      </w:tr>
      <w:tr>
        <w:trPr/>
        <w:tc>
          <w:tcPr>
            <w:tcW w:w="6530" w:type="dxa"/>
            <w:tcBorders/>
            <w:shd w:fill="CCEEFF" w:val="clear"/>
            <w:vAlign w:val="center"/>
          </w:tcPr>
          <w:p>
            <w:pPr>
              <w:pStyle w:val="TableContents"/>
              <w:bidi w:val="0"/>
              <w:spacing w:before="0" w:after="283"/>
              <w:jc w:val="left"/>
              <w:rPr/>
            </w:pPr>
            <w:r>
              <w:rPr/>
              <w:t>Pro forma net income (loss)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(154,677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(203,038</w:t>
            </w:r>
          </w:p>
        </w:tc>
        <w:tc>
          <w:tcPr>
            <w:tcW w:w="110" w:type="dxa"/>
            <w:tcBorders/>
            <w:shd w:fill="CCEEFF" w:val="clear"/>
            <w:vAlign w:val="center"/>
          </w:tcPr>
          <w:p>
            <w:pPr>
              <w:pStyle w:val="TableContents"/>
              <w:bidi w:val="0"/>
              <w:spacing w:before="0" w:after="283"/>
              <w:jc w:val="left"/>
              <w:rPr/>
            </w:pPr>
            <w:r>
              <w:rPr/>
              <w:t>)</w:t>
            </w:r>
          </w:p>
        </w:tc>
      </w:tr>
      <w:tr>
        <w:trPr/>
        <w:tc>
          <w:tcPr>
            <w:tcW w:w="6530" w:type="dxa"/>
            <w:tcBorders/>
            <w:shd w:fill="FFFFFF" w:val="clear"/>
            <w:vAlign w:val="center"/>
          </w:tcPr>
          <w:p>
            <w:pPr>
              <w:pStyle w:val="TableContents"/>
              <w:bidi w:val="0"/>
              <w:spacing w:before="0" w:after="283"/>
              <w:jc w:val="left"/>
              <w:rPr/>
            </w:pPr>
            <w:r>
              <w:rPr/>
              <w:t>Weighted average common shares outstanding—</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530" w:type="dxa"/>
            <w:tcBorders/>
            <w:shd w:fill="CCEEFF" w:val="clear"/>
            <w:vAlign w:val="center"/>
          </w:tcPr>
          <w:p>
            <w:pPr>
              <w:pStyle w:val="TableContents"/>
              <w:bidi w:val="0"/>
              <w:spacing w:before="0" w:after="283"/>
              <w:jc w:val="left"/>
              <w:rPr/>
            </w:pPr>
            <w:r>
              <w:rPr/>
              <w:t>Historical Rocket Lab weighted average common shares outstanding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617,625,210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530,664,781</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17</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9605" w:type="dxa"/>
        <w:jc w:val="left"/>
        <w:tblInd w:w="0" w:type="dxa"/>
        <w:tblLayout w:type="fixed"/>
        <w:tblCellMar>
          <w:top w:w="0" w:type="dxa"/>
          <w:left w:w="0" w:type="dxa"/>
          <w:bottom w:w="0" w:type="dxa"/>
          <w:right w:w="0" w:type="dxa"/>
        </w:tblCellMar>
      </w:tblPr>
      <w:tblGrid>
        <w:gridCol w:w="6560"/>
        <w:gridCol w:w="60"/>
        <w:gridCol w:w="140"/>
        <w:gridCol w:w="1220"/>
        <w:gridCol w:w="95"/>
        <w:gridCol w:w="60"/>
        <w:gridCol w:w="140"/>
        <w:gridCol w:w="1220"/>
        <w:gridCol w:w="110"/>
      </w:tblGrid>
      <w:tr>
        <w:trPr/>
        <w:tc>
          <w:tcPr>
            <w:tcW w:w="65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 xml:space="preserve">Six Months </w:t>
            </w:r>
          </w:p>
          <w:p>
            <w:pPr>
              <w:pStyle w:val="TableContents"/>
              <w:bidi w:val="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 xml:space="preserve">Ended June 30, </w:t>
            </w:r>
          </w:p>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 xml:space="preserve">Year Ended </w:t>
            </w:r>
          </w:p>
          <w:p>
            <w:pPr>
              <w:pStyle w:val="TableContents"/>
              <w:bidi w:val="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 xml:space="preserve">December 31, </w:t>
            </w:r>
          </w:p>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2025</w:t>
            </w:r>
          </w:p>
        </w:tc>
        <w:tc>
          <w:tcPr>
            <w:tcW w:w="110" w:type="dxa"/>
            <w:tcBorders/>
            <w:vAlign w:val="center"/>
          </w:tcPr>
          <w:p>
            <w:pPr>
              <w:pStyle w:val="TableContents"/>
              <w:bidi w:val="0"/>
              <w:spacing w:before="0" w:after="283"/>
              <w:jc w:val="left"/>
              <w:rPr/>
            </w:pPr>
            <w:r>
              <w:rPr/>
              <w:t> </w:t>
            </w:r>
          </w:p>
        </w:tc>
      </w:tr>
      <w:tr>
        <w:trPr/>
        <w:tc>
          <w:tcPr>
            <w:tcW w:w="6560" w:type="dxa"/>
            <w:tcBorders/>
            <w:shd w:fill="FFFFFF" w:val="clear"/>
            <w:vAlign w:val="center"/>
          </w:tcPr>
          <w:p>
            <w:pPr>
              <w:pStyle w:val="TableContents"/>
              <w:bidi w:val="0"/>
              <w:spacing w:before="0" w:after="283"/>
              <w:jc w:val="left"/>
              <w:rPr/>
            </w:pPr>
            <w:r>
              <w:rPr/>
              <w:t>Shares of Rocket Lab Common Stock issued in the Mergers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41,259,372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40,855,184</w:t>
            </w:r>
          </w:p>
        </w:tc>
        <w:tc>
          <w:tcPr>
            <w:tcW w:w="110" w:type="dxa"/>
            <w:tcBorders/>
            <w:shd w:fill="FFFFFF" w:val="clear"/>
            <w:vAlign w:val="center"/>
          </w:tcPr>
          <w:p>
            <w:pPr>
              <w:pStyle w:val="TableContents"/>
              <w:bidi w:val="0"/>
              <w:spacing w:before="0" w:after="283"/>
              <w:jc w:val="left"/>
              <w:rPr/>
            </w:pPr>
            <w:r>
              <w:rPr/>
              <w:t> </w:t>
            </w:r>
          </w:p>
        </w:tc>
      </w:tr>
      <w:tr>
        <w:trPr/>
        <w:tc>
          <w:tcPr>
            <w:tcW w:w="6560" w:type="dxa"/>
            <w:tcBorders/>
            <w:shd w:fill="CCEEFF" w:val="clear"/>
            <w:vAlign w:val="center"/>
          </w:tcPr>
          <w:p>
            <w:pPr>
              <w:pStyle w:val="TableContents"/>
              <w:bidi w:val="0"/>
              <w:spacing w:before="0" w:after="283"/>
              <w:jc w:val="left"/>
              <w:rPr/>
            </w:pPr>
            <w:r>
              <w:rPr/>
              <w:t>Iridium Options, as converted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59,848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76,104</w:t>
            </w:r>
          </w:p>
        </w:tc>
        <w:tc>
          <w:tcPr>
            <w:tcW w:w="110" w:type="dxa"/>
            <w:tcBorders/>
            <w:shd w:fill="CCEEFF" w:val="clear"/>
            <w:vAlign w:val="center"/>
          </w:tcPr>
          <w:p>
            <w:pPr>
              <w:pStyle w:val="TableContents"/>
              <w:bidi w:val="0"/>
              <w:spacing w:before="0" w:after="283"/>
              <w:jc w:val="left"/>
              <w:rPr/>
            </w:pPr>
            <w:r>
              <w:rPr/>
              <w:t> </w:t>
            </w:r>
          </w:p>
        </w:tc>
      </w:tr>
      <w:tr>
        <w:trPr/>
        <w:tc>
          <w:tcPr>
            <w:tcW w:w="6560" w:type="dxa"/>
            <w:tcBorders/>
            <w:shd w:fill="FFFFFF" w:val="clear"/>
            <w:vAlign w:val="center"/>
          </w:tcPr>
          <w:p>
            <w:pPr>
              <w:pStyle w:val="TableContents"/>
              <w:bidi w:val="0"/>
              <w:spacing w:before="0" w:after="283"/>
              <w:jc w:val="left"/>
              <w:rPr/>
            </w:pPr>
            <w:r>
              <w:rPr/>
              <w:t>Pro forma Rocket Lab weighted average common shares outstanding</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658,944,430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571,596,069</w:t>
            </w:r>
          </w:p>
        </w:tc>
        <w:tc>
          <w:tcPr>
            <w:tcW w:w="110" w:type="dxa"/>
            <w:tcBorders/>
            <w:shd w:fill="FFFFFF" w:val="clear"/>
            <w:vAlign w:val="center"/>
          </w:tcPr>
          <w:p>
            <w:pPr>
              <w:pStyle w:val="TableContents"/>
              <w:bidi w:val="0"/>
              <w:spacing w:before="0" w:after="283"/>
              <w:jc w:val="left"/>
              <w:rPr/>
            </w:pPr>
            <w:r>
              <w:rPr/>
              <w:t> </w:t>
            </w:r>
          </w:p>
        </w:tc>
      </w:tr>
      <w:tr>
        <w:trPr/>
        <w:tc>
          <w:tcPr>
            <w:tcW w:w="6560" w:type="dxa"/>
            <w:tcBorders/>
            <w:shd w:fill="CCEEFF" w:val="clear"/>
            <w:vAlign w:val="center"/>
          </w:tcPr>
          <w:p>
            <w:pPr>
              <w:pStyle w:val="TableContents"/>
              <w:bidi w:val="0"/>
              <w:spacing w:before="0" w:after="283"/>
              <w:jc w:val="left"/>
              <w:rPr/>
            </w:pPr>
            <w:r>
              <w:rPr/>
              <w:t>Pro forma combined basic and diluted net income (loss) per share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20" w:type="dxa"/>
            <w:tcBorders>
              <w:bottom w:val="double" w:sz="6" w:space="0" w:color="000000"/>
            </w:tcBorders>
            <w:shd w:fill="CCEEFF" w:val="clear"/>
            <w:tcMar>
              <w:bottom w:w="28" w:type="dxa"/>
            </w:tcMar>
            <w:vAlign w:val="center"/>
          </w:tcPr>
          <w:p>
            <w:pPr>
              <w:pStyle w:val="TableContents"/>
              <w:bidi w:val="0"/>
              <w:spacing w:before="0" w:after="283"/>
              <w:jc w:val="right"/>
              <w:rPr/>
            </w:pPr>
            <w:r>
              <w:rPr/>
              <w:t>(0.23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20" w:type="dxa"/>
            <w:tcBorders>
              <w:bottom w:val="double" w:sz="6" w:space="0" w:color="000000"/>
            </w:tcBorders>
            <w:shd w:fill="CCEEFF" w:val="clear"/>
            <w:tcMar>
              <w:bottom w:w="28" w:type="dxa"/>
            </w:tcMar>
            <w:vAlign w:val="center"/>
          </w:tcPr>
          <w:p>
            <w:pPr>
              <w:pStyle w:val="TableContents"/>
              <w:bidi w:val="0"/>
              <w:spacing w:before="0" w:after="283"/>
              <w:jc w:val="right"/>
              <w:rPr/>
            </w:pPr>
            <w:r>
              <w:rPr/>
              <w:t>(0.36</w:t>
            </w:r>
          </w:p>
        </w:tc>
        <w:tc>
          <w:tcPr>
            <w:tcW w:w="110" w:type="dxa"/>
            <w:tcBorders/>
            <w:shd w:fill="CCEEFF" w:val="clear"/>
            <w:vAlign w:val="center"/>
          </w:tcPr>
          <w:p>
            <w:pPr>
              <w:pStyle w:val="TableContents"/>
              <w:bidi w:val="0"/>
              <w:spacing w:before="0" w:after="283"/>
              <w:jc w:val="left"/>
              <w:rPr/>
            </w:pPr>
            <w:r>
              <w:rPr/>
              <w:t>)</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Stock Consideration for the Mergers—Stock Price Range Sensitivity Analysis</w:t>
      </w:r>
    </w:p>
    <w:p>
      <w:pPr>
        <w:pStyle w:val="TextBody"/>
        <w:bidi w:val="0"/>
        <w:jc w:val="left"/>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Stock Consideration portion of the Merger Consideration will be subject to a range based on the Exchange Ratio, as discussed in Note 4 above. As the Stock Consideration paid as part of the Merger Consideration is subject to the Rocket Lab Stock Price, the number of shares to be issued as Stock Consideration could vary, impacting pro forma basic and diluted weighted average shares outstanding and pro forma basic and diluted net income (loss) per share. The assumed Stock Consideration of $2,860,533 above is based on an Exchange Ratio of 0.3894, as the ten day volume weighted average price per share of Rocket Lab Common Stock ending on August 7, 2026 was between the minimum and maximum range of the Exchange Ratio as set forth in the Merger Agreement.</w:t>
      </w:r>
    </w:p>
    <w:p>
      <w:pPr>
        <w:pStyle w:val="TextBody"/>
        <w:bidi w:val="0"/>
        <w:ind w:left="0" w:right="0" w:firstLine="540"/>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sensitivity analysis illustrates the impact to pro forma basic and diluted shares outstanding and pro forma basic and diluted net income (loss) per share if the Stock Consideration paid in connection with the Mergers was converted at both the minimum and maximum ends of the Exchange Ratio (in thousands, except per share amounts):</w:t>
      </w:r>
    </w:p>
    <w:p>
      <w:pPr>
        <w:pStyle w:val="TextBody"/>
        <w:bidi w:val="0"/>
        <w:ind w:left="0" w:right="0" w:firstLine="54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130"/>
        <w:gridCol w:w="60"/>
        <w:gridCol w:w="140"/>
        <w:gridCol w:w="1220"/>
        <w:gridCol w:w="95"/>
        <w:gridCol w:w="60"/>
        <w:gridCol w:w="140"/>
        <w:gridCol w:w="1220"/>
        <w:gridCol w:w="95"/>
        <w:gridCol w:w="60"/>
        <w:gridCol w:w="140"/>
        <w:gridCol w:w="1220"/>
        <w:gridCol w:w="95"/>
        <w:gridCol w:w="60"/>
        <w:gridCol w:w="140"/>
        <w:gridCol w:w="1220"/>
        <w:gridCol w:w="110"/>
      </w:tblGrid>
      <w:tr>
        <w:trPr/>
        <w:tc>
          <w:tcPr>
            <w:tcW w:w="41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75" w:type="dxa"/>
            <w:gridSpan w:val="6"/>
            <w:tcBorders>
              <w:bottom w:val="single" w:sz="8" w:space="0" w:color="000000"/>
            </w:tcBorders>
            <w:tcMar>
              <w:bottom w:w="28" w:type="dxa"/>
            </w:tcMar>
            <w:vAlign w:val="center"/>
          </w:tcPr>
          <w:p>
            <w:pPr>
              <w:pStyle w:val="TableContents"/>
              <w:bidi w:val="0"/>
              <w:spacing w:before="0" w:after="283"/>
              <w:jc w:val="center"/>
              <w:rPr>
                <w:b/>
                <w:sz w:val="18"/>
              </w:rPr>
            </w:pPr>
            <w:r>
              <w:rPr>
                <w:b/>
                <w:sz w:val="18"/>
              </w:rPr>
              <w:t>Six Months Ended June 30, 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75" w:type="dxa"/>
            <w:gridSpan w:val="6"/>
            <w:tcBorders>
              <w:bottom w:val="single" w:sz="8" w:space="0" w:color="000000"/>
            </w:tcBorders>
            <w:tcMar>
              <w:bottom w:w="28" w:type="dxa"/>
            </w:tcMar>
            <w:vAlign w:val="center"/>
          </w:tcPr>
          <w:p>
            <w:pPr>
              <w:pStyle w:val="TableContents"/>
              <w:bidi w:val="0"/>
              <w:spacing w:before="0" w:after="283"/>
              <w:jc w:val="center"/>
              <w:rPr>
                <w:b/>
                <w:sz w:val="18"/>
              </w:rPr>
            </w:pPr>
            <w:r>
              <w:rPr>
                <w:b/>
                <w:sz w:val="18"/>
              </w:rPr>
              <w:t>Year Ended December 31, 2025</w:t>
            </w:r>
          </w:p>
        </w:tc>
        <w:tc>
          <w:tcPr>
            <w:tcW w:w="110" w:type="dxa"/>
            <w:tcBorders/>
            <w:vAlign w:val="center"/>
          </w:tcPr>
          <w:p>
            <w:pPr>
              <w:pStyle w:val="TableContents"/>
              <w:bidi w:val="0"/>
              <w:spacing w:before="0" w:after="283"/>
              <w:jc w:val="left"/>
              <w:rPr/>
            </w:pPr>
            <w:r>
              <w:rPr/>
              <w:t> </w:t>
            </w:r>
          </w:p>
        </w:tc>
      </w:tr>
      <w:tr>
        <w:trPr/>
        <w:tc>
          <w:tcPr>
            <w:tcW w:w="41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center"/>
          </w:tcPr>
          <w:p>
            <w:pPr>
              <w:pStyle w:val="TableContents"/>
              <w:bidi w:val="0"/>
              <w:spacing w:before="0" w:after="283"/>
              <w:jc w:val="center"/>
              <w:rPr>
                <w:b/>
                <w:sz w:val="18"/>
              </w:rPr>
            </w:pPr>
            <w:r>
              <w:rPr>
                <w:b/>
                <w:sz w:val="18"/>
              </w:rPr>
              <w:t>Minimum</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center"/>
          </w:tcPr>
          <w:p>
            <w:pPr>
              <w:pStyle w:val="TableContents"/>
              <w:bidi w:val="0"/>
              <w:spacing w:before="0" w:after="283"/>
              <w:jc w:val="center"/>
              <w:rPr>
                <w:b/>
                <w:sz w:val="18"/>
              </w:rPr>
            </w:pPr>
            <w:r>
              <w:rPr>
                <w:b/>
                <w:sz w:val="18"/>
              </w:rPr>
              <w:t>Maximum</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center"/>
          </w:tcPr>
          <w:p>
            <w:pPr>
              <w:pStyle w:val="TableContents"/>
              <w:bidi w:val="0"/>
              <w:spacing w:before="0" w:after="283"/>
              <w:jc w:val="center"/>
              <w:rPr>
                <w:b/>
                <w:sz w:val="18"/>
              </w:rPr>
            </w:pPr>
            <w:r>
              <w:rPr>
                <w:b/>
                <w:sz w:val="18"/>
              </w:rPr>
              <w:t>Minimum</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center"/>
          </w:tcPr>
          <w:p>
            <w:pPr>
              <w:pStyle w:val="TableContents"/>
              <w:bidi w:val="0"/>
              <w:spacing w:before="0" w:after="283"/>
              <w:jc w:val="center"/>
              <w:rPr>
                <w:b/>
                <w:sz w:val="18"/>
              </w:rPr>
            </w:pPr>
            <w:r>
              <w:rPr>
                <w:b/>
                <w:sz w:val="18"/>
              </w:rPr>
              <w:t>Maximum</w:t>
            </w:r>
          </w:p>
        </w:tc>
        <w:tc>
          <w:tcPr>
            <w:tcW w:w="110" w:type="dxa"/>
            <w:tcBorders/>
            <w:vAlign w:val="center"/>
          </w:tcPr>
          <w:p>
            <w:pPr>
              <w:pStyle w:val="TableContents"/>
              <w:bidi w:val="0"/>
              <w:spacing w:before="0" w:after="283"/>
              <w:jc w:val="left"/>
              <w:rPr/>
            </w:pPr>
            <w:r>
              <w:rPr/>
              <w:t> </w:t>
            </w:r>
          </w:p>
        </w:tc>
      </w:tr>
      <w:tr>
        <w:trPr/>
        <w:tc>
          <w:tcPr>
            <w:tcW w:w="4130" w:type="dxa"/>
            <w:tcBorders/>
            <w:shd w:fill="CCEEFF" w:val="clear"/>
            <w:vAlign w:val="center"/>
          </w:tcPr>
          <w:p>
            <w:pPr>
              <w:pStyle w:val="TableContents"/>
              <w:bidi w:val="0"/>
              <w:spacing w:before="0" w:after="283"/>
              <w:jc w:val="left"/>
              <w:rPr/>
            </w:pPr>
            <w:r>
              <w:rPr/>
              <w:t>Shares of Iridium Common Stock as of June 30, 2026</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105,956,272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105,956,272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105,956,272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105,956,272</w:t>
            </w:r>
          </w:p>
        </w:tc>
        <w:tc>
          <w:tcPr>
            <w:tcW w:w="110" w:type="dxa"/>
            <w:tcBorders/>
            <w:shd w:fill="CCEEFF" w:val="clear"/>
            <w:vAlign w:val="center"/>
          </w:tcPr>
          <w:p>
            <w:pPr>
              <w:pStyle w:val="TableContents"/>
              <w:bidi w:val="0"/>
              <w:spacing w:before="0" w:after="283"/>
              <w:jc w:val="left"/>
              <w:rPr/>
            </w:pPr>
            <w:r>
              <w:rPr/>
              <w:t> </w:t>
            </w:r>
          </w:p>
        </w:tc>
      </w:tr>
      <w:tr>
        <w:trPr/>
        <w:tc>
          <w:tcPr>
            <w:tcW w:w="4130" w:type="dxa"/>
            <w:tcBorders/>
            <w:shd w:fill="FFFFFF" w:val="clear"/>
            <w:vAlign w:val="center"/>
          </w:tcPr>
          <w:p>
            <w:pPr>
              <w:pStyle w:val="TableContents"/>
              <w:bidi w:val="0"/>
              <w:spacing w:before="0" w:after="283"/>
              <w:jc w:val="left"/>
              <w:rPr/>
            </w:pPr>
            <w:r>
              <w:rPr/>
              <w:t>Rocket Lab Stock Price (minimum and maximum ends of range)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220" w:type="dxa"/>
            <w:tcBorders/>
            <w:shd w:fill="FFFFFF" w:val="clear"/>
            <w:vAlign w:val="center"/>
          </w:tcPr>
          <w:p>
            <w:pPr>
              <w:pStyle w:val="TableContents"/>
              <w:bidi w:val="0"/>
              <w:spacing w:before="0" w:after="283"/>
              <w:jc w:val="right"/>
              <w:rPr/>
            </w:pPr>
            <w:r>
              <w:rPr/>
              <w:t>67.50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220" w:type="dxa"/>
            <w:tcBorders/>
            <w:shd w:fill="FFFFFF" w:val="clear"/>
            <w:vAlign w:val="center"/>
          </w:tcPr>
          <w:p>
            <w:pPr>
              <w:pStyle w:val="TableContents"/>
              <w:bidi w:val="0"/>
              <w:spacing w:before="0" w:after="283"/>
              <w:jc w:val="right"/>
              <w:rPr/>
            </w:pPr>
            <w:r>
              <w:rPr/>
              <w:t>112.50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220" w:type="dxa"/>
            <w:tcBorders/>
            <w:shd w:fill="FFFFFF" w:val="clear"/>
            <w:vAlign w:val="center"/>
          </w:tcPr>
          <w:p>
            <w:pPr>
              <w:pStyle w:val="TableContents"/>
              <w:bidi w:val="0"/>
              <w:spacing w:before="0" w:after="283"/>
              <w:jc w:val="right"/>
              <w:rPr/>
            </w:pPr>
            <w:r>
              <w:rPr/>
              <w:t>67.50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220" w:type="dxa"/>
            <w:tcBorders/>
            <w:shd w:fill="FFFFFF" w:val="clear"/>
            <w:vAlign w:val="center"/>
          </w:tcPr>
          <w:p>
            <w:pPr>
              <w:pStyle w:val="TableContents"/>
              <w:bidi w:val="0"/>
              <w:spacing w:before="0" w:after="283"/>
              <w:jc w:val="right"/>
              <w:rPr/>
            </w:pPr>
            <w:r>
              <w:rPr/>
              <w:t>112.50</w:t>
            </w:r>
          </w:p>
        </w:tc>
        <w:tc>
          <w:tcPr>
            <w:tcW w:w="110" w:type="dxa"/>
            <w:tcBorders/>
            <w:shd w:fill="FFFFFF" w:val="clear"/>
            <w:vAlign w:val="center"/>
          </w:tcPr>
          <w:p>
            <w:pPr>
              <w:pStyle w:val="TableContents"/>
              <w:bidi w:val="0"/>
              <w:spacing w:before="0" w:after="283"/>
              <w:jc w:val="left"/>
              <w:rPr/>
            </w:pPr>
            <w:r>
              <w:rPr/>
              <w:t> </w:t>
            </w:r>
          </w:p>
        </w:tc>
      </w:tr>
      <w:tr>
        <w:trPr/>
        <w:tc>
          <w:tcPr>
            <w:tcW w:w="4130" w:type="dxa"/>
            <w:tcBorders/>
            <w:shd w:fill="CCEEFF" w:val="clear"/>
            <w:vAlign w:val="center"/>
          </w:tcPr>
          <w:p>
            <w:pPr>
              <w:pStyle w:val="TableContents"/>
              <w:bidi w:val="0"/>
              <w:spacing w:before="0" w:after="283"/>
              <w:jc w:val="left"/>
              <w:rPr/>
            </w:pPr>
            <w:r>
              <w:rPr/>
              <w:t>Exchange Ratio (minimum and maximum ends of range)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0.4000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0.2400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0.4000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0.2400</w:t>
            </w:r>
          </w:p>
        </w:tc>
        <w:tc>
          <w:tcPr>
            <w:tcW w:w="110" w:type="dxa"/>
            <w:tcBorders/>
            <w:shd w:fill="CCEEFF" w:val="clear"/>
            <w:vAlign w:val="center"/>
          </w:tcPr>
          <w:p>
            <w:pPr>
              <w:pStyle w:val="TableContents"/>
              <w:bidi w:val="0"/>
              <w:spacing w:before="0" w:after="283"/>
              <w:jc w:val="left"/>
              <w:rPr/>
            </w:pPr>
            <w:r>
              <w:rPr/>
              <w:t> </w:t>
            </w:r>
          </w:p>
        </w:tc>
      </w:tr>
      <w:tr>
        <w:trPr/>
        <w:tc>
          <w:tcPr>
            <w:tcW w:w="41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130" w:type="dxa"/>
            <w:tcBorders/>
            <w:shd w:fill="CCEEFF" w:val="clear"/>
            <w:vAlign w:val="center"/>
          </w:tcPr>
          <w:p>
            <w:pPr>
              <w:pStyle w:val="TableContents"/>
              <w:bidi w:val="0"/>
              <w:spacing w:before="0" w:after="283"/>
              <w:jc w:val="left"/>
              <w:rPr/>
            </w:pPr>
            <w:r>
              <w:rPr/>
              <w:t>Historical Rocket Lab weighted average common shares outstanding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617,625,210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617,625,210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530,664,781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530,664,781</w:t>
            </w:r>
          </w:p>
        </w:tc>
        <w:tc>
          <w:tcPr>
            <w:tcW w:w="110" w:type="dxa"/>
            <w:tcBorders/>
            <w:shd w:fill="CCEEFF" w:val="clear"/>
            <w:vAlign w:val="center"/>
          </w:tcPr>
          <w:p>
            <w:pPr>
              <w:pStyle w:val="TableContents"/>
              <w:bidi w:val="0"/>
              <w:spacing w:before="0" w:after="283"/>
              <w:jc w:val="left"/>
              <w:rPr/>
            </w:pPr>
            <w:r>
              <w:rPr/>
              <w:t> </w:t>
            </w:r>
          </w:p>
        </w:tc>
      </w:tr>
      <w:tr>
        <w:trPr/>
        <w:tc>
          <w:tcPr>
            <w:tcW w:w="4130" w:type="dxa"/>
            <w:tcBorders/>
            <w:shd w:fill="FFFFFF" w:val="clear"/>
            <w:vAlign w:val="center"/>
          </w:tcPr>
          <w:p>
            <w:pPr>
              <w:pStyle w:val="TableContents"/>
              <w:bidi w:val="0"/>
              <w:spacing w:before="0" w:after="283"/>
              <w:jc w:val="left"/>
              <w:rPr/>
            </w:pPr>
            <w:r>
              <w:rPr/>
              <w:t>Stock Consideration, as converted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42,382,509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25,429,505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42,382,509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25,429,505</w:t>
            </w:r>
          </w:p>
        </w:tc>
        <w:tc>
          <w:tcPr>
            <w:tcW w:w="110" w:type="dxa"/>
            <w:tcBorders/>
            <w:shd w:fill="FFFFFF" w:val="clear"/>
            <w:vAlign w:val="center"/>
          </w:tcPr>
          <w:p>
            <w:pPr>
              <w:pStyle w:val="TableContents"/>
              <w:bidi w:val="0"/>
              <w:spacing w:before="0" w:after="283"/>
              <w:jc w:val="left"/>
              <w:rPr/>
            </w:pPr>
            <w:r>
              <w:rPr/>
              <w:t> </w:t>
            </w:r>
          </w:p>
        </w:tc>
      </w:tr>
      <w:tr>
        <w:trPr/>
        <w:tc>
          <w:tcPr>
            <w:tcW w:w="4130" w:type="dxa"/>
            <w:tcBorders/>
            <w:shd w:fill="CCEEFF" w:val="clear"/>
            <w:vAlign w:val="center"/>
          </w:tcPr>
          <w:p>
            <w:pPr>
              <w:pStyle w:val="TableContents"/>
              <w:bidi w:val="0"/>
              <w:spacing w:before="0" w:after="283"/>
              <w:jc w:val="left"/>
              <w:rPr/>
            </w:pPr>
            <w:r>
              <w:rPr/>
              <w:t>Iridium Options, as converted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59,848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59,848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76,104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76,104</w:t>
            </w:r>
          </w:p>
        </w:tc>
        <w:tc>
          <w:tcPr>
            <w:tcW w:w="110" w:type="dxa"/>
            <w:tcBorders/>
            <w:shd w:fill="CCEEFF" w:val="clear"/>
            <w:vAlign w:val="center"/>
          </w:tcPr>
          <w:p>
            <w:pPr>
              <w:pStyle w:val="TableContents"/>
              <w:bidi w:val="0"/>
              <w:spacing w:before="0" w:after="283"/>
              <w:jc w:val="left"/>
              <w:rPr/>
            </w:pPr>
            <w:r>
              <w:rPr/>
              <w:t> </w:t>
            </w:r>
          </w:p>
        </w:tc>
      </w:tr>
      <w:tr>
        <w:trPr/>
        <w:tc>
          <w:tcPr>
            <w:tcW w:w="4130" w:type="dxa"/>
            <w:tcBorders/>
            <w:shd w:fill="FFFFFF" w:val="clear"/>
            <w:vAlign w:val="center"/>
          </w:tcPr>
          <w:p>
            <w:pPr>
              <w:pStyle w:val="TableContents"/>
              <w:bidi w:val="0"/>
              <w:spacing w:before="0" w:after="283"/>
              <w:jc w:val="left"/>
              <w:rPr/>
            </w:pPr>
            <w:r>
              <w:rPr/>
              <w:t>Pro forma Rocket Lab weighted average common shares outstanding</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660,067,567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643,114,563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573,123,394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556,170,390</w:t>
            </w:r>
          </w:p>
        </w:tc>
        <w:tc>
          <w:tcPr>
            <w:tcW w:w="110" w:type="dxa"/>
            <w:tcBorders/>
            <w:shd w:fill="FFFFFF" w:val="clear"/>
            <w:vAlign w:val="center"/>
          </w:tcPr>
          <w:p>
            <w:pPr>
              <w:pStyle w:val="TableContents"/>
              <w:bidi w:val="0"/>
              <w:spacing w:before="0" w:after="283"/>
              <w:jc w:val="left"/>
              <w:rPr/>
            </w:pPr>
            <w:r>
              <w:rPr/>
              <w:t> </w:t>
            </w:r>
          </w:p>
        </w:tc>
      </w:tr>
      <w:tr>
        <w:trPr/>
        <w:tc>
          <w:tcPr>
            <w:tcW w:w="4130" w:type="dxa"/>
            <w:tcBorders/>
            <w:shd w:fill="CCEEFF" w:val="clear"/>
            <w:vAlign w:val="center"/>
          </w:tcPr>
          <w:p>
            <w:pPr>
              <w:pStyle w:val="TableContents"/>
              <w:bidi w:val="0"/>
              <w:spacing w:before="0" w:after="283"/>
              <w:jc w:val="left"/>
              <w:rPr/>
            </w:pPr>
            <w:r>
              <w:rPr/>
              <w:t>Pro forma combined basic net income (loss) per share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20" w:type="dxa"/>
            <w:tcBorders>
              <w:bottom w:val="double" w:sz="6" w:space="0" w:color="000000"/>
            </w:tcBorders>
            <w:shd w:fill="CCEEFF" w:val="clear"/>
            <w:tcMar>
              <w:bottom w:w="28" w:type="dxa"/>
            </w:tcMar>
            <w:vAlign w:val="center"/>
          </w:tcPr>
          <w:p>
            <w:pPr>
              <w:pStyle w:val="TableContents"/>
              <w:bidi w:val="0"/>
              <w:spacing w:before="0" w:after="283"/>
              <w:jc w:val="right"/>
              <w:rPr/>
            </w:pPr>
            <w:r>
              <w:rPr/>
              <w:t>(0.23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20" w:type="dxa"/>
            <w:tcBorders>
              <w:bottom w:val="double" w:sz="6" w:space="0" w:color="000000"/>
            </w:tcBorders>
            <w:shd w:fill="CCEEFF" w:val="clear"/>
            <w:tcMar>
              <w:bottom w:w="28" w:type="dxa"/>
            </w:tcMar>
            <w:vAlign w:val="center"/>
          </w:tcPr>
          <w:p>
            <w:pPr>
              <w:pStyle w:val="TableContents"/>
              <w:bidi w:val="0"/>
              <w:spacing w:before="0" w:after="283"/>
              <w:jc w:val="right"/>
              <w:rPr/>
            </w:pPr>
            <w:r>
              <w:rPr/>
              <w:t>(0.24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20" w:type="dxa"/>
            <w:tcBorders>
              <w:bottom w:val="double" w:sz="6" w:space="0" w:color="000000"/>
            </w:tcBorders>
            <w:shd w:fill="CCEEFF" w:val="clear"/>
            <w:tcMar>
              <w:bottom w:w="28" w:type="dxa"/>
            </w:tcMar>
            <w:vAlign w:val="center"/>
          </w:tcPr>
          <w:p>
            <w:pPr>
              <w:pStyle w:val="TableContents"/>
              <w:bidi w:val="0"/>
              <w:spacing w:before="0" w:after="283"/>
              <w:jc w:val="right"/>
              <w:rPr/>
            </w:pPr>
            <w:r>
              <w:rPr/>
              <w:t>(0.35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20" w:type="dxa"/>
            <w:tcBorders>
              <w:bottom w:val="double" w:sz="6" w:space="0" w:color="000000"/>
            </w:tcBorders>
            <w:shd w:fill="CCEEFF" w:val="clear"/>
            <w:tcMar>
              <w:bottom w:w="28" w:type="dxa"/>
            </w:tcMar>
            <w:vAlign w:val="center"/>
          </w:tcPr>
          <w:p>
            <w:pPr>
              <w:pStyle w:val="TableContents"/>
              <w:bidi w:val="0"/>
              <w:spacing w:before="0" w:after="283"/>
              <w:jc w:val="right"/>
              <w:rPr/>
            </w:pPr>
            <w:r>
              <w:rPr/>
              <w:t>(0.37</w:t>
            </w:r>
          </w:p>
        </w:tc>
        <w:tc>
          <w:tcPr>
            <w:tcW w:w="110" w:type="dxa"/>
            <w:tcBorders/>
            <w:shd w:fill="CCEEFF" w:val="clear"/>
            <w:vAlign w:val="center"/>
          </w:tcPr>
          <w:p>
            <w:pPr>
              <w:pStyle w:val="TableContents"/>
              <w:bidi w:val="0"/>
              <w:spacing w:before="0" w:after="283"/>
              <w:jc w:val="left"/>
              <w:rPr/>
            </w:pPr>
            <w:r>
              <w:rPr/>
              <w:t>)</w:t>
            </w:r>
          </w:p>
        </w:tc>
      </w:tr>
    </w:tbl>
    <w:p>
      <w:pPr>
        <w:pStyle w:val="TextBody"/>
        <w:bidi w:val="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18</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10647</Words>
  <Characters>60634</Characters>
  <CharactersWithSpaces>73623</CharactersWithSpaces>
  <Paragraphs>5781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