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Kampani Arjun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3881 MCGOWEN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Rocket Lab Corp</w:t>
              </w:r>
            </w:hyperlink>
            <w:r>
              <w:rPr/>
              <w:t xml:space="preserve"> [ </w:t>
            </w:r>
            <w:r>
              <w:rPr>
                <w:rFonts w:ascii="Times;serif" w:hAnsi="Times;serif"/>
                <w:color w:val="0000FF"/>
                <w:sz w:val="24"/>
                <w:shd w:fill="FFFFFF" w:val="clear"/>
              </w:rPr>
              <w:t>RKLB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7,173</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69.5345</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257,532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232</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70.2023</w:t>
            </w:r>
            <w:r>
              <w:rPr>
                <w:rFonts w:ascii="Times;serif" w:hAnsi="Times;serif"/>
                <w:color w:val="008000"/>
                <w:position w:val="7"/>
                <w:sz w:val="16"/>
                <w:sz w:val="20"/>
                <w:shd w:fill="FFFFFF" w:val="clear"/>
              </w:rPr>
              <w:t>(3)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257,300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349</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71.17</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256,951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sale of shares pursuant to a "sell-to-cover" transaction pursuant to a Rule 10b5-1 election adopted by the Reporting Person in order to satisfy applicable tax withholding obligations in connection with the vesting and settlement of restricted stock units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These shares were sold in multiple transactions at prices ranging from $69.0000 to $69.9900.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weighted-average price. These shares were sold in multiple transactions at prices ranging from $70.0000 to $70.6400.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/s/Arjun Kampani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71507" TargetMode="External"/><Relationship Id="rId5" Type="http://schemas.openxmlformats.org/officeDocument/2006/relationships/hyperlink" Target="http://www.sec.gov/cgi-bin/browse-edgar?action=getcompany&amp;CIK=00018199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4163</Characters>
  <CharactersWithSpaces>4842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