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864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64860"/>
                    </a:xfrm>
                    <a:prstGeom prst="rect">
                      <a:avLst/>
                    </a:prstGeom>
                    <a:noFill/>
                  </pic:spPr>
                </pic:pic>
              </a:graphicData>
            </a:graphic>
          </wp:anchor>
        </w:drawing>
      </w:r>
    </w:p>
    <w:p>
      <w:pPr>
        <w:spacing w:after="0" w:line="1204" w:lineRule="exact"/>
        <w:rPr>
          <w:sz w:val="24"/>
          <w:szCs w:val="24"/>
          <w:color w:val="auto"/>
        </w:rPr>
      </w:pPr>
    </w:p>
    <w:p>
      <w:pPr>
        <w:sectPr>
          <w:pgSz w:w="11900" w:h="16872"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Spice Adam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3881 MCGOWEN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Rocket Lab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RKLB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4" w:lineRule="exact"/>
        <w:rPr>
          <w:sz w:val="24"/>
          <w:szCs w:val="24"/>
          <w:color w:val="auto"/>
        </w:rPr>
      </w:pPr>
    </w:p>
    <w:p>
      <w:pPr>
        <w:sectPr>
          <w:pgSz w:w="11900" w:h="16872"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LONG BEACH  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90808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jc w:val="center"/>
              <w:ind w:left="429"/>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660" w:type="dxa"/>
            <w:vAlign w:val="bottom"/>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140,157</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6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1,296,124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47,554</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51.2804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1,248,570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14,266</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52.2638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1,234,304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33,681</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53.2884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1,200,623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37,950</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54.0728</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1,162,673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7"/>
              </w:rPr>
              <w:t>6,706</w:t>
            </w:r>
            <w:r>
              <w:rPr>
                <w:rFonts w:ascii="Times New Roman" w:cs="Times New Roman" w:eastAsia="Times New Roman" w:hAnsi="Times New Roman"/>
                <w:sz w:val="21"/>
                <w:szCs w:val="21"/>
                <w:color w:val="008000"/>
                <w:w w:val="87"/>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54.7849</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1,155,967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28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jc w:val="center"/>
              <w:ind w:right="261"/>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140,157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w:t>
            </w: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11/02/2026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w w:val="99"/>
              </w:rPr>
              <w:t>140,157</w:t>
            </w:r>
          </w:p>
        </w:tc>
        <w:tc>
          <w:tcPr>
            <w:tcW w:w="78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08/03/2028</w:t>
            </w: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88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2,102,354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which occurred automatically pursuant to a Rule 10b5-1 trading plan adopted by the Reporting Person on June 03, 2026.</w:t>
      </w:r>
    </w:p>
    <w:p>
      <w:pPr>
        <w:spacing w:after="0" w:line="41"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$50.7100 to $51.7000.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$51.7100 to $52.7000.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$52.7100 to $53.7000.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$53.7100 to $54.7000.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$54.7100 to $55.0000.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granted on August 3, 2018, and had a vesting commencement date of May 25, 2018. 1/4 of the shares subject to the stock option vest on the one year anniversary of the vesting commencement date, and 1/48 of the shares subject to the stock option vest on a monthly basis each month thereafter, subject, in each case, to the reporting person's continued service relationship through each applicable vesting date.</w:t>
      </w:r>
    </w:p>
    <w:p>
      <w:pPr>
        <w:spacing w:after="0" w:line="5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/s/ Arjun Kampani,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99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Adam</w:t>
      </w:r>
      <w:r>
        <w:rPr>
          <w:sz w:val="20"/>
          <w:szCs w:val="20"/>
          <w:color w:val="auto"/>
        </w:rPr>
        <w:tab/>
      </w:r>
      <w:r>
        <w:rPr>
          <w:rFonts w:ascii="Times New Roman" w:cs="Times New Roman" w:eastAsia="Times New Roman" w:hAnsi="Times New Roman"/>
          <w:sz w:val="16"/>
          <w:szCs w:val="16"/>
          <w:color w:val="0000FF"/>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1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Spice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33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72" w:orient="portrait"/>
          <w:cols w:equalWidth="0" w:num="1">
            <w:col w:w="11080"/>
          </w:cols>
          <w:pgMar w:left="460" w:top="216" w:right="359" w:bottom="0" w:gutter="0" w:footer="0" w:header="0"/>
          <w:type w:val="continuous"/>
        </w:sectPr>
      </w:pPr>
    </w:p>
    <w:bookmarkStart w:id="1" w:name="page2"/>
    <w:bookmarkEnd w:id="1"/>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9421" TargetMode="External"/><Relationship Id="rId14" Type="http://schemas.openxmlformats.org/officeDocument/2006/relationships/hyperlink" Target="http://www.sec.gov/cgi-bin/browse-edgar?action=getcompany&amp;CIK=0001819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2026-11-03T19:23:18Z</dcterms:created>
  <dcterms:modified xsi:type="dcterms:W3CDTF">2026-11-03T19:23:18Z</dcterms:modified>
</cp:coreProperties>
</file>