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760"/>
        <w:spacing w:after="0"/>
        <w:rPr>
          <w:sz w:val="20"/>
          <w:szCs w:val="20"/>
          <w:color w:val="auto"/>
        </w:rPr>
      </w:pPr>
      <w:r>
        <w:rPr>
          <w:rFonts w:ascii="Times New Roman" w:cs="Times New Roman" w:eastAsia="Times New Roman" w:hAnsi="Times New Roman"/>
          <w:sz w:val="10"/>
          <w:szCs w:val="10"/>
          <w:b w:val="1"/>
          <w:bCs w:val="1"/>
          <w:color w:val="auto"/>
        </w:rPr>
        <w:t>Filed Pursuant to Rule 424(b)(5)</w:t>
      </w:r>
    </w:p>
    <w:p>
      <w:pPr>
        <w:spacing w:after="0" w:line="30" w:lineRule="exact"/>
        <w:rPr>
          <w:sz w:val="24"/>
          <w:szCs w:val="24"/>
          <w:color w:val="auto"/>
        </w:rPr>
      </w:pPr>
    </w:p>
    <w:p>
      <w:pPr>
        <w:ind w:left="9440"/>
        <w:spacing w:after="0"/>
        <w:rPr>
          <w:sz w:val="20"/>
          <w:szCs w:val="20"/>
          <w:color w:val="auto"/>
        </w:rPr>
      </w:pPr>
      <w:r>
        <w:rPr>
          <w:rFonts w:ascii="Times New Roman" w:cs="Times New Roman" w:eastAsia="Times New Roman" w:hAnsi="Times New Roman"/>
          <w:sz w:val="11"/>
          <w:szCs w:val="11"/>
          <w:b w:val="1"/>
          <w:bCs w:val="1"/>
          <w:color w:val="auto"/>
        </w:rPr>
        <w:t>Registration Statement No. 333-285707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Prospectus Supplement</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(To Prospectus dated March 11, 2025)</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Rocket Lab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3108960</wp:posOffset>
            </wp:positionH>
            <wp:positionV relativeFrom="paragraph">
              <wp:posOffset>6985</wp:posOffset>
            </wp:positionV>
            <wp:extent cx="949960" cy="356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9960" cy="356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Up to $3,000,000,000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640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102"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11"/>
          <w:szCs w:val="11"/>
          <w:color w:val="auto"/>
        </w:rPr>
        <w:t>We have entered into an equity distribution agreement (the “equity distribution agreement”) with (1) BofA Securities, Inc., BTIG, LLC, Cantor Fitzgerald &amp; Co., Citizens JMP Securities, LLC, Craig-Hallum Capital Group LLC, Deutsche Bank Securities Inc., Goldman Sachs &amp; Co. LLC, KeyBanc Capital Markets Inc., Morgan Stanley &amp; Co. LLC, Needham &amp; Company, LLC, Robert W. Baird &amp; Co. Incorporated, Roth Capital Partners, LLC, Stifel, Nicolaus &amp; Company, Incorporated, TD Securities (USA) LLC and Wells Fargo Securities, LLC as our sales agents (in such capacity, the “sales agents”), (2) the forward sellers (as defined below) and (3) the forward purchasers (as defined below) relating to the sale of shares of our common stock, par value $0.0001 per share (“common stock”), offered by this prospectus supplement and the accompanying prospectus. In accordance with the terms of the equity distribution agreement, we may offer and sell shares of our common stock from time to time through or to the sales agents, acting as our agents or principal, having an aggregate offering price of up to $3,000,000,000.</w:t>
      </w:r>
    </w:p>
    <w:p>
      <w:pPr>
        <w:spacing w:after="0" w:line="2" w:lineRule="exact"/>
        <w:rPr>
          <w:sz w:val="24"/>
          <w:szCs w:val="24"/>
          <w:color w:val="auto"/>
        </w:rPr>
      </w:pPr>
    </w:p>
    <w:p>
      <w:pPr>
        <w:spacing w:after="0" w:line="252" w:lineRule="auto"/>
        <w:rPr>
          <w:sz w:val="20"/>
          <w:szCs w:val="20"/>
          <w:color w:val="auto"/>
        </w:rPr>
      </w:pPr>
      <w:r>
        <w:rPr>
          <w:rFonts w:ascii="Times New Roman" w:cs="Times New Roman" w:eastAsia="Times New Roman" w:hAnsi="Times New Roman"/>
          <w:sz w:val="11"/>
          <w:szCs w:val="11"/>
          <w:color w:val="auto"/>
        </w:rPr>
        <w:t>The equity distribution agreement provides that, in addition to the issuance and sale of shares of our common stock through the sales agents acting as sales agents or directly to the sales agents acting as principals, we also may enter into forward sale agreements under separate forward sale confirmations between us and Bank of America, N.A., Citizens JMP Securities, LLC, Deutsche Bank AG, London Branch, Goldman Sachs &amp; Co. LLC, KeyBanc Capital Markets Inc., Morgan Stanley &amp; Co. LLC, Nomura Global Financial Products, Inc., Robert W. Baird &amp; Co. Incorporated, Stifel, Nicolaus &amp; Company, Incorporated, The Toronto-Dominion Bank and Wells Fargo Bank, National Association or one or more of their respective affiliates. These entities, when acting in such capacity, are referred to in this prospectus supplement as “forward purchasers.” In connection with each forward sale agreement, the relevant forward purchaser (or its affiliate) will, at our request, attempt to borrow from third-party stock lenders and, through the relevant sales agent, sell a number of shares of our common stock equal to the number of shares that underlie such forward sale agreement to hedge such forward sale agreement. BofA Securities, Inc., Citizens JMP Securities, LLC, Deutsche Bank Securities Inc., Goldman Sachs &amp; Co. LLC, KeyBanc Capital Markets Inc., Morgan Stanley &amp; Co. LLC, Nomura Securities International, Inc., Robert W. Baird &amp; Co. Incorporated, Stifel, Nicolaus &amp; Company, Incorporated, TD Securities (USA) LLC and Wells Fargo Securities, LLC, when acting as the agent for a forward purchaser, is referred to in this prospectus supplement as a “forward seller,” except in the case of BTIG, LLC, for which references to the forward seller refer instead to Nomura Securities International, Inc. (acting through BTIG, LLC as sales agent). Transactions contemplated by the forward sale agreements are referred to here as “forward transactions.”</w:t>
      </w:r>
    </w:p>
    <w:p>
      <w:pPr>
        <w:spacing w:after="0" w:line="3"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1"/>
          <w:szCs w:val="11"/>
          <w:color w:val="auto"/>
        </w:rPr>
        <w:t>In a forward transaction under one form of forward sale agreement, which we refer to as an “initially priced forward transaction,” we may enter into one or more forward sale agreements relating to one or more initially priced forward transactions (“initially priced forward sale agreements”) with a forward purchaser, pursuant to which we will receive the forward sale price under the forward sale agreement at the settlement of the initially priced forward transaction, subject to the price adjustment and other provisions of the applicable forward sale agreement. The initial forward sale price per share under each initially priced forward transaction will be equal to the product of (1) an amount equal to one minus the applicable forward hedge selling commission rate and (2) the adjusted volume weighted average hedge price per share at which the borrowed shares of our common stock were sold pursuant to the equity distribution agreement by the relevant forward seller to hedge the relevant forward purchaser’s exposure under such initially priced forward transaction. We will not initially receive any proceeds from the sale of borrowed shares of our common stock by the relevant forward seller. We expect to receive proceeds from the sale of shares of our common stock upon future physical settlement of the relevant initially priced forward transaction with the relevant forward purchaser on dates specified by us on or prior to the maturity date of such initially priced forward transaction. In an initially priced forward transaction, we expect to receive aggregate cash proceeds equal to the product of the initial forward sale price under such initially priced forward transaction and the number of shares of our common stock underlying such initially priced forward transaction, subject to the price adjustment and other provisions of the applicable forward sale agreement. If we elect to cash settle or net share settle an initially priced forward transaction, we may not (in the case of cash settlement) or will not (in the case of net share settlement) receive any proceeds, and we may owe cash (in the case of cash settlement) or shares of our common stock (in the case of net share settlement) to the relevant forward purchaser.</w:t>
      </w:r>
    </w:p>
    <w:p>
      <w:pPr>
        <w:spacing w:after="0" w:line="4" w:lineRule="exact"/>
        <w:rPr>
          <w:sz w:val="24"/>
          <w:szCs w:val="24"/>
          <w:color w:val="auto"/>
        </w:rPr>
      </w:pPr>
    </w:p>
    <w:p>
      <w:pPr>
        <w:spacing w:after="0" w:line="252" w:lineRule="auto"/>
        <w:rPr>
          <w:sz w:val="20"/>
          <w:szCs w:val="20"/>
          <w:color w:val="auto"/>
        </w:rPr>
      </w:pPr>
      <w:r>
        <w:rPr>
          <w:rFonts w:ascii="Times New Roman" w:cs="Times New Roman" w:eastAsia="Times New Roman" w:hAnsi="Times New Roman"/>
          <w:sz w:val="11"/>
          <w:szCs w:val="11"/>
          <w:color w:val="auto"/>
        </w:rPr>
        <w:t>In a separate forward transaction under another form of forward sale agreement, which we refer to as a “collared forward transaction,” we may enter into one or more forward sale agreements relating to one or more collared forward transactions (“collared forward sale agreements”) with Goldman Sachs &amp; Co. LLC or Morgan Stanley &amp; Co. LLC, each acting in its capacity as a forward purchaser (the “collared forward purchaser”), pursuant to which we will agree to sell to the relevant collared forward purchaser up to the number of shares of our common stock specified in the collared forward sale agreement (subject to adjustment as set forth therein) and the relevant collared forward purchaser will borrow from third-party stock lenders and sell the maximum number of shares of our common stock deliverable pursuant to the collared forward transaction (the “hedging shares”) through the related sales agent acting as statutory underwriter and a forward seller (the “collared forward seller”) over a period of time to be agreed between us and the relevant collared forward purchaser (an “initial hedging period”), all subject to the terms of the equity distribution agreement and the collared forward sale agreement. We have been advised by each collared forward purchaser that it expects that, on the same days during the initial hedging period when the relevant collared forward seller is selling a number of hedging shares underlying the collared forward transaction, the relevant collared forward purchaser or its affiliates or agents will be contemporaneously purchasing a substantial portion of such number of shares in the open market for its own account, as each collared forward purchaser expects its initial hedge position in respect of the collared forward transaction to be less than the maximum number of shares underlying the collared forward transaction. The floor price and the cap price of the collared forward transaction will be determined upon completion of the initial hedging period for the collared forward transaction by multiplying the weighted average prices at which the relevant collared forward seller will have sold the hedging shares during the initial hedging period for the collared forward transaction (the “hedge reference price”) by the floor percentage and the cap percentage specified in the collared forward sale agreement, respectively. Each collared forward transaction will consist of a number of components equal to the number of Exchange Business Days (as defined in the relevant collared forward sale agreement) during the initial hedging period, each of which such components will correspond to a single Exchange Business Day during the initial hedging period and each of which with its own floor price and cap price. The forward sale price that we will receive with respect to any component under any collared forward transaction (the “collared forward sale price”) for each share of our common stock deliverable thereunder will be equal to an amount determined based on the volume-weighted average price, as measured under the collared forward sale agreement, of our common stock (the “settlement reference price”) on the applicable valuation date for such component, provided that the collared forward sale price will not be less than the floor price for such component and will not be more than the cap price for such component, subject to adjustment under the terms of the collared forward sale agreement (the “collared settlement amount”).</w:t>
      </w:r>
    </w:p>
    <w:p>
      <w:pPr>
        <w:ind w:right="20"/>
        <w:spacing w:after="0" w:line="252" w:lineRule="auto"/>
        <w:rPr>
          <w:sz w:val="20"/>
          <w:szCs w:val="20"/>
          <w:color w:val="auto"/>
        </w:rPr>
      </w:pPr>
      <w:r>
        <w:rPr>
          <w:rFonts w:ascii="Times New Roman" w:cs="Times New Roman" w:eastAsia="Times New Roman" w:hAnsi="Times New Roman"/>
          <w:sz w:val="11"/>
          <w:szCs w:val="11"/>
          <w:color w:val="auto"/>
        </w:rPr>
        <w:t>We will not initially receive any proceeds from the sale of borrowed shares of our common stock by a collared forward seller. On each prepayment date for any component of a collared forward transaction, which will be a date designated by us sometime prior to the valuation date for such component (each, a “component prepayment date”), the relevant collared forward purchaser will, upon our request, prepay to us an amount equal to (A) the present value of the product of (x) the number of shares underlying such component and (y) the floor price for such component minus (B) the product of the (x) number of shares underlying such component of the relevant collared forward transaction and (y) Forward Hedge Selling Commission Rate (as defined in the applicable collared forward sale agreement) (such product, the “collared forward selling commission”) and (z) hedge reference price, and we will issue and pledge the maximum number of shares underlying such component. If a component prepayment date with respect to such component previously occurred, the relevant collared forward purchaser will pay to us an amount of cash equal to the product of (x) the number of shares underlying such component and (y) the excess of the collared forward sales price for such component over the floor price for such component and if a component prepayment date with respect to such component has not occurred, the relevant collared forward purchaser will pay to us an amount of cash equal to (A) the product of the (x) number of shares underlying such component and (y) the collared forward sale price for such component minus (B) the product of the (x) number of shares underlying such component of the relevant collared forward transaction, (y) Forward Hedge Selling Commission Rate and (z) hedge reference price. On each component prepayment date, we will be required to issue and pledge to the relevant collared forward purchaser the maximum number of shares underlying such component. However, we will, subject to certain conditions specified in the collared forward sale agreement, have the right to elect to receive a portion of the settlement amount corresponding to the excess of the collared forward sale price over the floor price in the form of our common stock, instead of cash, with the number of shares to be calculated based on the settlement reference price on the applicable valuation date for such component, in which case we expect our obligation to deliver shares of our common stock to the relevant collared forward purchaser at such maturity will be reduced by such amount. In connection with each collared forward transaction, the relevant collared forward seller may receive, reflected in a reduced collared forward sale price payable by the relevant collared forward purchaser under the related forward sale agreement as indicated above, a commission of up to 2.0% of the</w:t>
      </w:r>
    </w:p>
    <w:p>
      <w:pPr>
        <w:spacing w:after="0" w:line="6" w:lineRule="exact"/>
        <w:rPr>
          <w:sz w:val="24"/>
          <w:szCs w:val="24"/>
          <w:color w:val="auto"/>
        </w:rPr>
      </w:pPr>
    </w:p>
    <w:p>
      <w:pPr>
        <w:ind w:right="240"/>
        <w:spacing w:after="0" w:line="250" w:lineRule="auto"/>
        <w:rPr>
          <w:sz w:val="20"/>
          <w:szCs w:val="20"/>
          <w:color w:val="auto"/>
        </w:rPr>
      </w:pPr>
      <w:r>
        <w:rPr>
          <w:rFonts w:ascii="Times New Roman" w:cs="Times New Roman" w:eastAsia="Times New Roman" w:hAnsi="Times New Roman"/>
          <w:sz w:val="11"/>
          <w:szCs w:val="11"/>
          <w:color w:val="auto"/>
        </w:rPr>
        <w:t>volume weighted average of the sales prices of all borrowed shares of our common stock sold during the applicable forward hedge selling period by it as a forward seller, and any such commission will be deducted from the amount paid to us on each component prepayment date or settlement date, as applicable.</w:t>
      </w:r>
    </w:p>
    <w:p>
      <w:pPr>
        <w:spacing w:after="0" w:line="1" w:lineRule="exact"/>
        <w:rPr>
          <w:sz w:val="24"/>
          <w:szCs w:val="24"/>
          <w:color w:val="auto"/>
        </w:rPr>
      </w:pPr>
    </w:p>
    <w:p>
      <w:pPr>
        <w:ind w:right="20"/>
        <w:spacing w:after="0" w:line="252" w:lineRule="auto"/>
        <w:rPr>
          <w:sz w:val="20"/>
          <w:szCs w:val="20"/>
          <w:color w:val="auto"/>
        </w:rPr>
      </w:pPr>
      <w:r>
        <w:rPr>
          <w:rFonts w:ascii="Times New Roman" w:cs="Times New Roman" w:eastAsia="Times New Roman" w:hAnsi="Times New Roman"/>
          <w:sz w:val="11"/>
          <w:szCs w:val="11"/>
          <w:color w:val="auto"/>
        </w:rPr>
        <w:t>In the event that the relevant forward purchaser or its affiliate is unable to borrow and deliver any shares of our common stock for sale by the relevant forward seller under the equity distribution agreement or it would incur a stock loan cost that is equal to or greater than a specified amount, the number of shares underlying the relevant forward transaction will be reduced accordingly (and possibly to zero shares) immediately upon completion of the applicable hedging period.</w:t>
      </w:r>
    </w:p>
    <w:p>
      <w:pPr>
        <w:spacing w:after="0" w:line="252" w:lineRule="auto"/>
        <w:rPr>
          <w:sz w:val="20"/>
          <w:szCs w:val="20"/>
          <w:color w:val="auto"/>
        </w:rPr>
      </w:pPr>
      <w:r>
        <w:rPr>
          <w:rFonts w:ascii="Times New Roman" w:cs="Times New Roman" w:eastAsia="Times New Roman" w:hAnsi="Times New Roman"/>
          <w:sz w:val="11"/>
          <w:szCs w:val="11"/>
          <w:color w:val="auto"/>
        </w:rPr>
        <w:t>The relevant forward seller is not required to sell any specific number or dollar amount of shares of our common stock, but, subject to the terms and conditions of the applicable forward transaction, the relevant forward seller will use its commercially reasonable efforts, consistent with its normal trading and sales practices, to borrow from third-party stock lenders and sell up to the designated number of shares of our common stock during the initial hedging period. In respect of any sales during the initial hedging period by the relevant forward seller on behalf of the relevant forward purchaser, we may specify that no shares of our common stock may be sold, if the sales cannot be effected at or above the price designated by us, and we may specify other trading parameters for such sales (including volume limitations). Accordingly, any sales by the relevant forward seller may be suspended at any time, and there can be no assurance that the relevant forward seller will be able to sell any shares pursuant to the equity distribution agreement. Only one sales agent or forward seller will be permitted to conduct sales of shares of our common stock at any given time pursuant to the equity distribution agreement, and no sales of shares of our common stock by any sales agent acting on our behalf, or by the relevant forward seller on behalf of the relevant forward purchaser in connection with any initially priced forward transaction, will occur simultaneously with any sales of the hedging shares by a collared forward seller on behalf of a collared forward purchaser or contemporaneous purchases of shares by such collared forward purchaser in connection with the establishment of its initial delta hedge with respect to any collared forward transaction. Sales of shares of our common stock under this prospectus supplement and the accompanying prospectus, if any, may be made by any method permitted by law, including without limitation by means of ordinary brokers’ transactions on The Nasdaq Global Select Market (“Nasdaq”) or otherwise at market prices prevailing at the time of sale, at prices related to prevailing market prices or at negotiated prices. The sales agents are not required to sell any specific number or dollar amount of shares of our common stock. The sales agents have agreed to use their commercially reasonable efforts to sell on our behalf all of the shares of common stock requested to be sold by us, consistent with their normal trading and sales practices, on mutually agreed terms between the sales agents and us. There is no arrangement for funds to be received in any escrow, trust or similar arrangement.</w:t>
      </w:r>
    </w:p>
    <w:p>
      <w:pPr>
        <w:spacing w:after="0" w:line="4" w:lineRule="exact"/>
        <w:rPr>
          <w:sz w:val="24"/>
          <w:szCs w:val="24"/>
          <w:color w:val="auto"/>
        </w:rPr>
      </w:pPr>
    </w:p>
    <w:p>
      <w:pPr>
        <w:ind w:right="60"/>
        <w:spacing w:after="0" w:line="252" w:lineRule="auto"/>
        <w:rPr>
          <w:sz w:val="20"/>
          <w:szCs w:val="20"/>
          <w:color w:val="auto"/>
        </w:rPr>
      </w:pPr>
      <w:r>
        <w:rPr>
          <w:rFonts w:ascii="Times New Roman" w:cs="Times New Roman" w:eastAsia="Times New Roman" w:hAnsi="Times New Roman"/>
          <w:sz w:val="11"/>
          <w:szCs w:val="11"/>
          <w:color w:val="auto"/>
        </w:rPr>
        <w:t>We will pay each of the sales agents a commission not to exceed 2.0 % of the sales price per share of shares sold through it as agent under the equity distribution agreement. The net proceeds that we will receive from such sales will be the gross proceeds from such sales less the commissions and any other costs that we may incur in issuing the shares. See “Use of Proceeds” in this prospectus supplement for further information. In connection with each initially priced forward transaction, the relevant forward seller will receive a commission not to exceed 2.0% of the volume weighted average of the sales prices of all borrowed shares of our common stock sold during the applicable hedge period by it as a forward seller, reflected in a reduced initial forward sale price payable by the relevant forward purchaser under its forward sale agreement. In respect of a collared forward transaction, if such a commission is payable, it will be deducted from the proceeds we receive on any component prepayment date or settlement date, as applicable.</w:t>
      </w:r>
    </w:p>
    <w:p>
      <w:pPr>
        <w:spacing w:after="0" w:line="1" w:lineRule="exact"/>
        <w:rPr>
          <w:sz w:val="24"/>
          <w:szCs w:val="24"/>
          <w:color w:val="auto"/>
        </w:rPr>
      </w:pPr>
    </w:p>
    <w:p>
      <w:pPr>
        <w:ind w:right="160"/>
        <w:spacing w:after="0" w:line="249" w:lineRule="auto"/>
        <w:rPr>
          <w:sz w:val="20"/>
          <w:szCs w:val="20"/>
          <w:color w:val="auto"/>
        </w:rPr>
      </w:pPr>
      <w:r>
        <w:rPr>
          <w:rFonts w:ascii="Times New Roman" w:cs="Times New Roman" w:eastAsia="Times New Roman" w:hAnsi="Times New Roman"/>
          <w:sz w:val="11"/>
          <w:szCs w:val="11"/>
          <w:color w:val="auto"/>
        </w:rPr>
        <w:t>In connection with the sale of shares of our common stock on our behalf, each of the sales agents and forward sellers will be deemed to be an “underwriter” within the meaning of the Securities Act of 1933, as amended (“Securities Act”). The compensation of the sales agents and the forward sellers will be deemed to be underwriting commissions or discounts. We have agreed to provide indemnification and contribution to the sales agents with respect to certain liabilities, including liabilities under the Securities Act. See “Plan of Distribution (Conflicts of Interest)” for additional information regarding compensation to be paid to the sales agents.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Our common stock is traded on The Nasdaq Global Select Market under the symbol “RKLB”. On May 18, 2026, the last reported sale price of our common stock was $131.16 per share.</w:t>
      </w:r>
    </w:p>
    <w:p>
      <w:pPr>
        <w:spacing w:after="0" w:line="9" w:lineRule="exact"/>
        <w:rPr>
          <w:sz w:val="24"/>
          <w:szCs w:val="24"/>
          <w:color w:val="auto"/>
        </w:rPr>
      </w:pPr>
    </w:p>
    <w:p>
      <w:pPr>
        <w:ind w:right="260"/>
        <w:spacing w:after="0" w:line="250" w:lineRule="auto"/>
        <w:rPr>
          <w:sz w:val="20"/>
          <w:szCs w:val="20"/>
          <w:color w:val="auto"/>
        </w:rPr>
      </w:pPr>
      <w:r>
        <w:rPr>
          <w:rFonts w:ascii="Times New Roman" w:cs="Times New Roman" w:eastAsia="Times New Roman" w:hAnsi="Times New Roman"/>
          <w:sz w:val="11"/>
          <w:szCs w:val="11"/>
          <w:b w:val="1"/>
          <w:bCs w:val="1"/>
          <w:color w:val="auto"/>
        </w:rPr>
        <w:t>Investing in our common stock involves a high degree of risk. You should review carefully the risks and uncertainties described under the heading “</w:t>
      </w:r>
      <w:r>
        <w:rPr>
          <w:rFonts w:ascii="Times New Roman" w:cs="Times New Roman" w:eastAsia="Times New Roman" w:hAnsi="Times New Roman"/>
          <w:sz w:val="11"/>
          <w:szCs w:val="11"/>
          <w:b w:val="1"/>
          <w:bCs w:val="1"/>
          <w:u w:val="single" w:color="auto"/>
          <w:color w:val="0000FF"/>
        </w:rPr>
        <w:t>Risk Factors</w:t>
      </w:r>
      <w:r>
        <w:rPr>
          <w:rFonts w:ascii="Times New Roman" w:cs="Times New Roman" w:eastAsia="Times New Roman" w:hAnsi="Times New Roman"/>
          <w:sz w:val="11"/>
          <w:szCs w:val="11"/>
          <w:b w:val="1"/>
          <w:bCs w:val="1"/>
          <w:color w:val="auto"/>
        </w:rPr>
        <w:t xml:space="preserve">” beginning on page </w:t>
      </w:r>
      <w:r>
        <w:rPr>
          <w:rFonts w:ascii="Times New Roman" w:cs="Times New Roman" w:eastAsia="Times New Roman" w:hAnsi="Times New Roman"/>
          <w:sz w:val="11"/>
          <w:szCs w:val="11"/>
          <w:b w:val="1"/>
          <w:bCs w:val="1"/>
          <w:u w:val="single" w:color="auto"/>
          <w:color w:val="0000FF"/>
        </w:rPr>
        <w:t>S-9</w:t>
      </w:r>
      <w:r>
        <w:rPr>
          <w:rFonts w:ascii="Times New Roman" w:cs="Times New Roman" w:eastAsia="Times New Roman" w:hAnsi="Times New Roman"/>
          <w:sz w:val="11"/>
          <w:szCs w:val="11"/>
          <w:b w:val="1"/>
          <w:bCs w:val="1"/>
          <w:color w:val="auto"/>
        </w:rPr>
        <w:t xml:space="preserve"> of this prospectus supplement, the accompanying prospectus, and under similar headings in the other documents that are incorporated by reference into this prospectus supplement.</w:t>
      </w:r>
    </w:p>
    <w:p>
      <w:pPr>
        <w:spacing w:after="0" w:line="1" w:lineRule="exact"/>
        <w:rPr>
          <w:sz w:val="24"/>
          <w:szCs w:val="24"/>
          <w:color w:val="auto"/>
        </w:rPr>
      </w:pPr>
    </w:p>
    <w:p>
      <w:pPr>
        <w:ind w:right="100"/>
        <w:spacing w:after="0" w:line="264"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1640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126" w:lineRule="exact"/>
        <w:rPr>
          <w:sz w:val="24"/>
          <w:szCs w:val="24"/>
          <w:color w:val="auto"/>
        </w:rPr>
      </w:pPr>
    </w:p>
    <w:tbl>
      <w:tblPr>
        <w:tblLayout w:type="fixed"/>
        <w:tblInd w:w="1500" w:type="dxa"/>
        <w:tblCellMar>
          <w:top w:w="0" w:type="dxa"/>
          <w:left w:w="0" w:type="dxa"/>
          <w:bottom w:w="0" w:type="dxa"/>
          <w:right w:w="0" w:type="dxa"/>
        </w:tblCellMar>
      </w:tblPr>
      <w:tr>
        <w:trPr>
          <w:trHeight w:val="143"/>
        </w:trPr>
        <w:tc>
          <w:tcPr>
            <w:tcW w:w="2120" w:type="dxa"/>
            <w:vAlign w:val="bottom"/>
          </w:tcPr>
          <w:p>
            <w:pPr>
              <w:spacing w:after="0"/>
              <w:rPr>
                <w:sz w:val="12"/>
                <w:szCs w:val="12"/>
                <w:color w:val="auto"/>
              </w:rPr>
            </w:pPr>
          </w:p>
        </w:tc>
        <w:tc>
          <w:tcPr>
            <w:tcW w:w="3920" w:type="dxa"/>
            <w:vAlign w:val="bottom"/>
          </w:tcPr>
          <w:p>
            <w:pPr>
              <w:jc w:val="center"/>
              <w:ind w:left="65"/>
              <w:spacing w:after="0"/>
              <w:rPr>
                <w:sz w:val="20"/>
                <w:szCs w:val="20"/>
                <w:color w:val="auto"/>
              </w:rPr>
            </w:pPr>
            <w:r>
              <w:rPr>
                <w:rFonts w:ascii="Times New Roman" w:cs="Times New Roman" w:eastAsia="Times New Roman" w:hAnsi="Times New Roman"/>
                <w:sz w:val="11"/>
                <w:szCs w:val="11"/>
                <w:color w:val="auto"/>
                <w:w w:val="99"/>
              </w:rPr>
              <w:t>(listed in alphabetical order)</w:t>
            </w:r>
          </w:p>
        </w:tc>
        <w:tc>
          <w:tcPr>
            <w:tcW w:w="2480" w:type="dxa"/>
            <w:vAlign w:val="bottom"/>
          </w:tcPr>
          <w:p>
            <w:pPr>
              <w:spacing w:after="0"/>
              <w:rPr>
                <w:sz w:val="12"/>
                <w:szCs w:val="12"/>
                <w:color w:val="auto"/>
              </w:rPr>
            </w:pPr>
          </w:p>
        </w:tc>
      </w:tr>
      <w:tr>
        <w:trPr>
          <w:trHeight w:val="166"/>
        </w:trPr>
        <w:tc>
          <w:tcPr>
            <w:tcW w:w="2120" w:type="dxa"/>
            <w:vAlign w:val="bottom"/>
          </w:tcPr>
          <w:p>
            <w:pPr>
              <w:jc w:val="center"/>
              <w:ind w:right="1305"/>
              <w:spacing w:after="0"/>
              <w:rPr>
                <w:sz w:val="20"/>
                <w:szCs w:val="20"/>
                <w:color w:val="auto"/>
              </w:rPr>
            </w:pPr>
            <w:r>
              <w:rPr>
                <w:rFonts w:ascii="Times New Roman" w:cs="Times New Roman" w:eastAsia="Times New Roman" w:hAnsi="Times New Roman"/>
                <w:sz w:val="11"/>
                <w:szCs w:val="11"/>
                <w:b w:val="1"/>
                <w:bCs w:val="1"/>
                <w:color w:val="auto"/>
              </w:rPr>
              <w:t>Baird</w:t>
            </w:r>
          </w:p>
        </w:tc>
        <w:tc>
          <w:tcPr>
            <w:tcW w:w="3920" w:type="dxa"/>
            <w:vAlign w:val="bottom"/>
          </w:tcPr>
          <w:p>
            <w:pPr>
              <w:jc w:val="center"/>
              <w:ind w:left="85"/>
              <w:spacing w:after="0"/>
              <w:rPr>
                <w:sz w:val="20"/>
                <w:szCs w:val="20"/>
                <w:color w:val="auto"/>
              </w:rPr>
            </w:pPr>
            <w:r>
              <w:rPr>
                <w:rFonts w:ascii="Times New Roman" w:cs="Times New Roman" w:eastAsia="Times New Roman" w:hAnsi="Times New Roman"/>
                <w:sz w:val="11"/>
                <w:szCs w:val="11"/>
                <w:b w:val="1"/>
                <w:bCs w:val="1"/>
                <w:color w:val="auto"/>
              </w:rPr>
              <w:t>BofA Securities</w:t>
            </w:r>
          </w:p>
        </w:tc>
        <w:tc>
          <w:tcPr>
            <w:tcW w:w="2480" w:type="dxa"/>
            <w:vAlign w:val="bottom"/>
          </w:tcPr>
          <w:p>
            <w:pPr>
              <w:jc w:val="center"/>
              <w:ind w:left="1185"/>
              <w:spacing w:after="0"/>
              <w:rPr>
                <w:sz w:val="20"/>
                <w:szCs w:val="20"/>
                <w:color w:val="auto"/>
              </w:rPr>
            </w:pPr>
            <w:r>
              <w:rPr>
                <w:rFonts w:ascii="Times New Roman" w:cs="Times New Roman" w:eastAsia="Times New Roman" w:hAnsi="Times New Roman"/>
                <w:sz w:val="11"/>
                <w:szCs w:val="11"/>
                <w:b w:val="1"/>
                <w:bCs w:val="1"/>
                <w:color w:val="auto"/>
              </w:rPr>
              <w:t>BTIG</w:t>
            </w:r>
          </w:p>
        </w:tc>
      </w:tr>
      <w:tr>
        <w:trPr>
          <w:trHeight w:val="177"/>
        </w:trPr>
        <w:tc>
          <w:tcPr>
            <w:tcW w:w="2120" w:type="dxa"/>
            <w:vAlign w:val="bottom"/>
          </w:tcPr>
          <w:p>
            <w:pPr>
              <w:jc w:val="center"/>
              <w:ind w:right="1285"/>
              <w:spacing w:after="0"/>
              <w:rPr>
                <w:sz w:val="20"/>
                <w:szCs w:val="20"/>
                <w:color w:val="auto"/>
              </w:rPr>
            </w:pPr>
            <w:r>
              <w:rPr>
                <w:rFonts w:ascii="Times New Roman" w:cs="Times New Roman" w:eastAsia="Times New Roman" w:hAnsi="Times New Roman"/>
                <w:sz w:val="11"/>
                <w:szCs w:val="11"/>
                <w:b w:val="1"/>
                <w:bCs w:val="1"/>
                <w:color w:val="auto"/>
              </w:rPr>
              <w:t>Cantor</w:t>
            </w:r>
          </w:p>
        </w:tc>
        <w:tc>
          <w:tcPr>
            <w:tcW w:w="3920" w:type="dxa"/>
            <w:vAlign w:val="bottom"/>
          </w:tcPr>
          <w:p>
            <w:pPr>
              <w:jc w:val="center"/>
              <w:ind w:left="85"/>
              <w:spacing w:after="0"/>
              <w:rPr>
                <w:sz w:val="20"/>
                <w:szCs w:val="20"/>
                <w:color w:val="auto"/>
              </w:rPr>
            </w:pPr>
            <w:r>
              <w:rPr>
                <w:rFonts w:ascii="Times New Roman" w:cs="Times New Roman" w:eastAsia="Times New Roman" w:hAnsi="Times New Roman"/>
                <w:sz w:val="11"/>
                <w:szCs w:val="11"/>
                <w:b w:val="1"/>
                <w:bCs w:val="1"/>
                <w:color w:val="auto"/>
              </w:rPr>
              <w:t>Citizens Capital Markets</w:t>
            </w:r>
          </w:p>
        </w:tc>
        <w:tc>
          <w:tcPr>
            <w:tcW w:w="2480" w:type="dxa"/>
            <w:vAlign w:val="bottom"/>
          </w:tcPr>
          <w:p>
            <w:pPr>
              <w:jc w:val="center"/>
              <w:ind w:left="1205"/>
              <w:spacing w:after="0"/>
              <w:rPr>
                <w:sz w:val="20"/>
                <w:szCs w:val="20"/>
                <w:color w:val="auto"/>
              </w:rPr>
            </w:pPr>
            <w:r>
              <w:rPr>
                <w:rFonts w:ascii="Times New Roman" w:cs="Times New Roman" w:eastAsia="Times New Roman" w:hAnsi="Times New Roman"/>
                <w:sz w:val="11"/>
                <w:szCs w:val="11"/>
                <w:b w:val="1"/>
                <w:bCs w:val="1"/>
                <w:color w:val="auto"/>
                <w:w w:val="99"/>
              </w:rPr>
              <w:t>Craig-Hallum</w:t>
            </w:r>
          </w:p>
        </w:tc>
      </w:tr>
      <w:tr>
        <w:trPr>
          <w:trHeight w:val="177"/>
        </w:trPr>
        <w:tc>
          <w:tcPr>
            <w:tcW w:w="2120" w:type="dxa"/>
            <w:vAlign w:val="bottom"/>
          </w:tcPr>
          <w:p>
            <w:pPr>
              <w:jc w:val="center"/>
              <w:ind w:right="1305"/>
              <w:spacing w:after="0"/>
              <w:rPr>
                <w:sz w:val="20"/>
                <w:szCs w:val="20"/>
                <w:color w:val="auto"/>
              </w:rPr>
            </w:pPr>
            <w:r>
              <w:rPr>
                <w:rFonts w:ascii="Times New Roman" w:cs="Times New Roman" w:eastAsia="Times New Roman" w:hAnsi="Times New Roman"/>
                <w:sz w:val="11"/>
                <w:szCs w:val="11"/>
                <w:b w:val="1"/>
                <w:bCs w:val="1"/>
                <w:color w:val="auto"/>
              </w:rPr>
              <w:t>Deutsche Bank</w:t>
            </w:r>
          </w:p>
        </w:tc>
        <w:tc>
          <w:tcPr>
            <w:tcW w:w="3920" w:type="dxa"/>
            <w:vAlign w:val="bottom"/>
          </w:tcPr>
          <w:p>
            <w:pPr>
              <w:jc w:val="center"/>
              <w:ind w:left="85"/>
              <w:spacing w:after="0"/>
              <w:rPr>
                <w:sz w:val="20"/>
                <w:szCs w:val="20"/>
                <w:color w:val="auto"/>
              </w:rPr>
            </w:pPr>
            <w:r>
              <w:rPr>
                <w:rFonts w:ascii="Times New Roman" w:cs="Times New Roman" w:eastAsia="Times New Roman" w:hAnsi="Times New Roman"/>
                <w:sz w:val="11"/>
                <w:szCs w:val="11"/>
                <w:b w:val="1"/>
                <w:bCs w:val="1"/>
                <w:color w:val="auto"/>
              </w:rPr>
              <w:t>Goldman Sachs &amp; Co. LLC</w:t>
            </w:r>
          </w:p>
        </w:tc>
        <w:tc>
          <w:tcPr>
            <w:tcW w:w="2480" w:type="dxa"/>
            <w:vAlign w:val="bottom"/>
          </w:tcPr>
          <w:p>
            <w:pPr>
              <w:jc w:val="center"/>
              <w:ind w:left="1185"/>
              <w:spacing w:after="0"/>
              <w:rPr>
                <w:sz w:val="20"/>
                <w:szCs w:val="20"/>
                <w:color w:val="auto"/>
              </w:rPr>
            </w:pPr>
            <w:r>
              <w:rPr>
                <w:rFonts w:ascii="Times New Roman" w:cs="Times New Roman" w:eastAsia="Times New Roman" w:hAnsi="Times New Roman"/>
                <w:sz w:val="11"/>
                <w:szCs w:val="11"/>
                <w:b w:val="1"/>
                <w:bCs w:val="1"/>
                <w:color w:val="auto"/>
              </w:rPr>
              <w:t>KeyBanc Capital Markets</w:t>
            </w:r>
          </w:p>
        </w:tc>
      </w:tr>
      <w:tr>
        <w:trPr>
          <w:trHeight w:val="177"/>
        </w:trPr>
        <w:tc>
          <w:tcPr>
            <w:tcW w:w="2120" w:type="dxa"/>
            <w:vAlign w:val="bottom"/>
          </w:tcPr>
          <w:p>
            <w:pPr>
              <w:jc w:val="center"/>
              <w:ind w:right="1305"/>
              <w:spacing w:after="0"/>
              <w:rPr>
                <w:sz w:val="20"/>
                <w:szCs w:val="20"/>
                <w:color w:val="auto"/>
              </w:rPr>
            </w:pPr>
            <w:r>
              <w:rPr>
                <w:rFonts w:ascii="Times New Roman" w:cs="Times New Roman" w:eastAsia="Times New Roman" w:hAnsi="Times New Roman"/>
                <w:sz w:val="11"/>
                <w:szCs w:val="11"/>
                <w:b w:val="1"/>
                <w:bCs w:val="1"/>
                <w:color w:val="auto"/>
              </w:rPr>
              <w:t>Morgan Stanley</w:t>
            </w:r>
          </w:p>
        </w:tc>
        <w:tc>
          <w:tcPr>
            <w:tcW w:w="3920" w:type="dxa"/>
            <w:vAlign w:val="bottom"/>
          </w:tcPr>
          <w:p>
            <w:pPr>
              <w:jc w:val="center"/>
              <w:ind w:left="85"/>
              <w:spacing w:after="0"/>
              <w:rPr>
                <w:sz w:val="20"/>
                <w:szCs w:val="20"/>
                <w:color w:val="auto"/>
              </w:rPr>
            </w:pPr>
            <w:r>
              <w:rPr>
                <w:rFonts w:ascii="Times New Roman" w:cs="Times New Roman" w:eastAsia="Times New Roman" w:hAnsi="Times New Roman"/>
                <w:sz w:val="11"/>
                <w:szCs w:val="11"/>
                <w:b w:val="1"/>
                <w:bCs w:val="1"/>
                <w:color w:val="auto"/>
              </w:rPr>
              <w:t>Needham &amp; Company</w:t>
            </w:r>
          </w:p>
        </w:tc>
        <w:tc>
          <w:tcPr>
            <w:tcW w:w="2480" w:type="dxa"/>
            <w:vAlign w:val="bottom"/>
          </w:tcPr>
          <w:p>
            <w:pPr>
              <w:jc w:val="center"/>
              <w:ind w:left="1205"/>
              <w:spacing w:after="0"/>
              <w:rPr>
                <w:sz w:val="20"/>
                <w:szCs w:val="20"/>
                <w:color w:val="auto"/>
              </w:rPr>
            </w:pPr>
            <w:r>
              <w:rPr>
                <w:rFonts w:ascii="Times New Roman" w:cs="Times New Roman" w:eastAsia="Times New Roman" w:hAnsi="Times New Roman"/>
                <w:sz w:val="11"/>
                <w:szCs w:val="11"/>
                <w:b w:val="1"/>
                <w:bCs w:val="1"/>
                <w:color w:val="auto"/>
              </w:rPr>
              <w:t>Roth Capital Partners</w:t>
            </w:r>
          </w:p>
        </w:tc>
      </w:tr>
      <w:tr>
        <w:trPr>
          <w:trHeight w:val="177"/>
        </w:trPr>
        <w:tc>
          <w:tcPr>
            <w:tcW w:w="2120" w:type="dxa"/>
            <w:vAlign w:val="bottom"/>
          </w:tcPr>
          <w:p>
            <w:pPr>
              <w:jc w:val="center"/>
              <w:ind w:right="1305"/>
              <w:spacing w:after="0"/>
              <w:rPr>
                <w:sz w:val="20"/>
                <w:szCs w:val="20"/>
                <w:color w:val="auto"/>
              </w:rPr>
            </w:pPr>
            <w:r>
              <w:rPr>
                <w:rFonts w:ascii="Times New Roman" w:cs="Times New Roman" w:eastAsia="Times New Roman" w:hAnsi="Times New Roman"/>
                <w:sz w:val="11"/>
                <w:szCs w:val="11"/>
                <w:b w:val="1"/>
                <w:bCs w:val="1"/>
                <w:color w:val="auto"/>
                <w:w w:val="97"/>
              </w:rPr>
              <w:t>Stifel</w:t>
            </w:r>
          </w:p>
        </w:tc>
        <w:tc>
          <w:tcPr>
            <w:tcW w:w="3920" w:type="dxa"/>
            <w:vAlign w:val="bottom"/>
          </w:tcPr>
          <w:p>
            <w:pPr>
              <w:jc w:val="center"/>
              <w:ind w:left="65"/>
              <w:spacing w:after="0"/>
              <w:rPr>
                <w:sz w:val="20"/>
                <w:szCs w:val="20"/>
                <w:color w:val="auto"/>
              </w:rPr>
            </w:pPr>
            <w:r>
              <w:rPr>
                <w:rFonts w:ascii="Times New Roman" w:cs="Times New Roman" w:eastAsia="Times New Roman" w:hAnsi="Times New Roman"/>
                <w:sz w:val="11"/>
                <w:szCs w:val="11"/>
                <w:b w:val="1"/>
                <w:bCs w:val="1"/>
                <w:color w:val="auto"/>
              </w:rPr>
              <w:t>TD Securities</w:t>
            </w:r>
          </w:p>
        </w:tc>
        <w:tc>
          <w:tcPr>
            <w:tcW w:w="2480" w:type="dxa"/>
            <w:vAlign w:val="bottom"/>
          </w:tcPr>
          <w:p>
            <w:pPr>
              <w:jc w:val="center"/>
              <w:ind w:left="1205"/>
              <w:spacing w:after="0"/>
              <w:rPr>
                <w:sz w:val="20"/>
                <w:szCs w:val="20"/>
                <w:color w:val="auto"/>
              </w:rPr>
            </w:pPr>
            <w:r>
              <w:rPr>
                <w:rFonts w:ascii="Times New Roman" w:cs="Times New Roman" w:eastAsia="Times New Roman" w:hAnsi="Times New Roman"/>
                <w:sz w:val="11"/>
                <w:szCs w:val="11"/>
                <w:b w:val="1"/>
                <w:bCs w:val="1"/>
                <w:color w:val="auto"/>
              </w:rPr>
              <w:t>Wells Fargo Securities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1640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515" w:right="319" w:bottom="1440" w:gutter="0" w:footer="0" w:header="0"/>
        </w:sect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The date of this prospectus supplement is May 20, 2026.</w:t>
      </w:r>
    </w:p>
    <w:p>
      <w:pPr>
        <w:sectPr>
          <w:pgSz w:w="11900" w:h="16838" w:orient="portrait"/>
          <w:cols w:equalWidth="0" w:num="1">
            <w:col w:w="11280"/>
          </w:cols>
          <w:pgMar w:left="300" w:top="51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0" w:type="dxa"/>
            <w:vAlign w:val="bottom"/>
            <w:gridSpan w:val="5"/>
          </w:tcPr>
          <w:p>
            <w:pPr>
              <w:jc w:val="right"/>
              <w:ind w:right="4831"/>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291"/>
        </w:trPr>
        <w:tc>
          <w:tcPr>
            <w:tcW w:w="468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5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4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5"/>
        </w:trPr>
        <w:tc>
          <w:tcPr>
            <w:tcW w:w="20" w:type="dxa"/>
            <w:vAlign w:val="bottom"/>
          </w:tcPr>
          <w:p>
            <w:pPr>
              <w:spacing w:after="0"/>
              <w:rPr>
                <w:sz w:val="12"/>
                <w:szCs w:val="12"/>
                <w:color w:val="auto"/>
              </w:rPr>
            </w:pPr>
          </w:p>
        </w:tc>
        <w:tc>
          <w:tcPr>
            <w:tcW w:w="2640" w:type="dxa"/>
            <w:vAlign w:val="bottom"/>
            <w:tcBorders>
              <w:bottom w:val="single" w:sz="8" w:color="0000FF"/>
            </w:tcBorders>
            <w:gridSpan w:val="15"/>
          </w:tcPr>
          <w:p>
            <w:pPr>
              <w:spacing w:after="0" w:line="145" w:lineRule="exact"/>
              <w:rPr>
                <w:sz w:val="20"/>
                <w:szCs w:val="20"/>
                <w:color w:val="auto"/>
              </w:rPr>
            </w:pPr>
            <w:r>
              <w:rPr>
                <w:rFonts w:ascii="Times New Roman" w:cs="Times New Roman" w:eastAsia="Times New Roman" w:hAnsi="Times New Roman"/>
                <w:sz w:val="14"/>
                <w:szCs w:val="14"/>
                <w:color w:val="0000FF"/>
                <w:w w:val="98"/>
              </w:rPr>
              <w:t>ABOUT THIS PROSPECTUS SUPPLEMENT</w:t>
            </w:r>
          </w:p>
        </w:tc>
        <w:tc>
          <w:tcPr>
            <w:tcW w:w="2020" w:type="dxa"/>
            <w:vAlign w:val="bottom"/>
            <w:gridSpan w:val="4"/>
          </w:tcPr>
          <w:p>
            <w:pPr>
              <w:spacing w:after="0"/>
              <w:rPr>
                <w:sz w:val="12"/>
                <w:szCs w:val="12"/>
                <w:color w:val="auto"/>
              </w:rPr>
            </w:pPr>
          </w:p>
        </w:tc>
        <w:tc>
          <w:tcPr>
            <w:tcW w:w="5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2"/>
                <w:szCs w:val="12"/>
                <w:color w:val="0000FF"/>
                <w:w w:val="71"/>
              </w:rPr>
              <w:t>S-1</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00FF"/>
                <w:w w:val="71"/>
              </w:rPr>
              <w:t>S-3</w:t>
            </w:r>
          </w:p>
        </w:tc>
      </w:tr>
      <w:tr>
        <w:trPr>
          <w:trHeight w:val="157"/>
        </w:trPr>
        <w:tc>
          <w:tcPr>
            <w:tcW w:w="20" w:type="dxa"/>
            <w:vAlign w:val="bottom"/>
          </w:tcPr>
          <w:p>
            <w:pPr>
              <w:spacing w:after="0"/>
              <w:rPr>
                <w:sz w:val="13"/>
                <w:szCs w:val="13"/>
                <w:color w:val="auto"/>
              </w:rPr>
            </w:pPr>
          </w:p>
        </w:tc>
        <w:tc>
          <w:tcPr>
            <w:tcW w:w="4440" w:type="dxa"/>
            <w:vAlign w:val="bottom"/>
            <w:tcBorders>
              <w:top w:val="single" w:sz="8" w:color="0000FF"/>
            </w:tcBorders>
            <w:gridSpan w:val="18"/>
          </w:tcPr>
          <w:p>
            <w:pPr>
              <w:spacing w:after="0" w:line="157" w:lineRule="exact"/>
              <w:rPr>
                <w:sz w:val="20"/>
                <w:szCs w:val="20"/>
                <w:color w:val="auto"/>
              </w:rPr>
            </w:pPr>
            <w:r>
              <w:rPr>
                <w:rFonts w:ascii="Times New Roman" w:cs="Times New Roman" w:eastAsia="Times New Roman" w:hAnsi="Times New Roman"/>
                <w:sz w:val="14"/>
                <w:szCs w:val="14"/>
                <w:color w:val="0000FF"/>
              </w:rPr>
              <w:t>SUMMARY</w:t>
            </w:r>
          </w:p>
        </w:tc>
        <w:tc>
          <w:tcPr>
            <w:tcW w:w="2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2"/>
                <w:szCs w:val="12"/>
                <w:color w:val="0000FF"/>
                <w:w w:val="71"/>
              </w:rPr>
              <w:t>S-5</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980" w:type="dxa"/>
            <w:vAlign w:val="bottom"/>
            <w:tcBorders>
              <w:bottom w:val="single" w:sz="8" w:color="0000FF"/>
            </w:tcBorders>
            <w:gridSpan w:val="4"/>
          </w:tcPr>
          <w:p>
            <w:pPr>
              <w:spacing w:after="0" w:line="157" w:lineRule="exact"/>
              <w:rPr>
                <w:sz w:val="20"/>
                <w:szCs w:val="20"/>
                <w:color w:val="auto"/>
              </w:rPr>
            </w:pPr>
            <w:r>
              <w:rPr>
                <w:rFonts w:ascii="Times New Roman" w:cs="Times New Roman" w:eastAsia="Times New Roman" w:hAnsi="Times New Roman"/>
                <w:sz w:val="14"/>
                <w:szCs w:val="14"/>
                <w:color w:val="0000FF"/>
                <w:w w:val="96"/>
              </w:rPr>
              <w:t>THE OFFERING</w:t>
            </w:r>
          </w:p>
        </w:tc>
        <w:tc>
          <w:tcPr>
            <w:tcW w:w="3680" w:type="dxa"/>
            <w:vAlign w:val="bottom"/>
            <w:gridSpan w:val="15"/>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2"/>
                <w:szCs w:val="12"/>
                <w:color w:val="0000FF"/>
                <w:w w:val="71"/>
              </w:rPr>
              <w:t>S-7</w:t>
            </w:r>
          </w:p>
        </w:tc>
      </w:tr>
      <w:tr>
        <w:trPr>
          <w:trHeight w:val="157"/>
        </w:trPr>
        <w:tc>
          <w:tcPr>
            <w:tcW w:w="20" w:type="dxa"/>
            <w:vAlign w:val="bottom"/>
          </w:tcPr>
          <w:p>
            <w:pPr>
              <w:spacing w:after="0"/>
              <w:rPr>
                <w:sz w:val="13"/>
                <w:szCs w:val="13"/>
                <w:color w:val="auto"/>
              </w:rPr>
            </w:pPr>
          </w:p>
        </w:tc>
        <w:tc>
          <w:tcPr>
            <w:tcW w:w="960" w:type="dxa"/>
            <w:vAlign w:val="bottom"/>
            <w:tcBorders>
              <w:bottom w:val="single" w:sz="8" w:color="0000FF"/>
            </w:tcBorders>
            <w:gridSpan w:val="3"/>
          </w:tcPr>
          <w:p>
            <w:pPr>
              <w:spacing w:after="0" w:line="157" w:lineRule="exact"/>
              <w:rPr>
                <w:sz w:val="20"/>
                <w:szCs w:val="20"/>
                <w:color w:val="auto"/>
              </w:rPr>
            </w:pPr>
            <w:r>
              <w:rPr>
                <w:rFonts w:ascii="Times New Roman" w:cs="Times New Roman" w:eastAsia="Times New Roman" w:hAnsi="Times New Roman"/>
                <w:sz w:val="14"/>
                <w:szCs w:val="14"/>
                <w:color w:val="0000FF"/>
                <w:w w:val="95"/>
              </w:rPr>
              <w:t>RISK FACTORS</w:t>
            </w:r>
          </w:p>
        </w:tc>
        <w:tc>
          <w:tcPr>
            <w:tcW w:w="3700" w:type="dxa"/>
            <w:vAlign w:val="bottom"/>
            <w:gridSpan w:val="16"/>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2"/>
                <w:szCs w:val="12"/>
                <w:color w:val="0000FF"/>
                <w:w w:val="71"/>
              </w:rPr>
              <w:t>S-9</w:t>
            </w:r>
          </w:p>
        </w:tc>
      </w:tr>
      <w:tr>
        <w:trPr>
          <w:trHeight w:val="157"/>
        </w:trPr>
        <w:tc>
          <w:tcPr>
            <w:tcW w:w="20" w:type="dxa"/>
            <w:vAlign w:val="bottom"/>
          </w:tcPr>
          <w:p>
            <w:pPr>
              <w:spacing w:after="0"/>
              <w:rPr>
                <w:sz w:val="13"/>
                <w:szCs w:val="13"/>
                <w:color w:val="auto"/>
              </w:rPr>
            </w:pPr>
          </w:p>
        </w:tc>
        <w:tc>
          <w:tcPr>
            <w:tcW w:w="1220" w:type="dxa"/>
            <w:vAlign w:val="bottom"/>
            <w:tcBorders>
              <w:bottom w:val="single" w:sz="8" w:color="0000FF"/>
            </w:tcBorders>
            <w:gridSpan w:val="7"/>
          </w:tcPr>
          <w:p>
            <w:pPr>
              <w:spacing w:after="0" w:line="157" w:lineRule="exact"/>
              <w:rPr>
                <w:sz w:val="20"/>
                <w:szCs w:val="20"/>
                <w:color w:val="auto"/>
              </w:rPr>
            </w:pPr>
            <w:r>
              <w:rPr>
                <w:rFonts w:ascii="Times New Roman" w:cs="Times New Roman" w:eastAsia="Times New Roman" w:hAnsi="Times New Roman"/>
                <w:sz w:val="14"/>
                <w:szCs w:val="14"/>
                <w:color w:val="0000FF"/>
                <w:w w:val="97"/>
              </w:rPr>
              <w:t>USE OF PROCEEDS</w:t>
            </w:r>
          </w:p>
        </w:tc>
        <w:tc>
          <w:tcPr>
            <w:tcW w:w="3440" w:type="dxa"/>
            <w:vAlign w:val="bottom"/>
            <w:gridSpan w:val="12"/>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S-16</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DIVIDEND POLICY</w:t>
            </w: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S-17</w:t>
            </w:r>
          </w:p>
        </w:tc>
      </w:tr>
      <w:tr>
        <w:trPr>
          <w:trHeight w:val="157"/>
        </w:trPr>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gridSpan w:val="2"/>
          </w:tcPr>
          <w:p>
            <w:pPr>
              <w:spacing w:after="0" w:line="157" w:lineRule="exact"/>
              <w:rPr>
                <w:sz w:val="20"/>
                <w:szCs w:val="20"/>
                <w:color w:val="auto"/>
              </w:rPr>
            </w:pPr>
            <w:r>
              <w:rPr>
                <w:rFonts w:ascii="Times New Roman" w:cs="Times New Roman" w:eastAsia="Times New Roman" w:hAnsi="Times New Roman"/>
                <w:sz w:val="14"/>
                <w:szCs w:val="14"/>
                <w:color w:val="0000FF"/>
                <w:w w:val="98"/>
              </w:rPr>
              <w:t>DILUTION</w:t>
            </w:r>
          </w:p>
        </w:tc>
        <w:tc>
          <w:tcPr>
            <w:tcW w:w="500" w:type="dxa"/>
            <w:vAlign w:val="bottom"/>
            <w:tcBorders>
              <w:top w:val="single" w:sz="8" w:color="0000FF"/>
            </w:tcBorders>
            <w:gridSpan w:val="4"/>
          </w:tcPr>
          <w:p>
            <w:pPr>
              <w:spacing w:after="0"/>
              <w:rPr>
                <w:sz w:val="13"/>
                <w:szCs w:val="13"/>
                <w:color w:val="auto"/>
              </w:rPr>
            </w:pPr>
          </w:p>
        </w:tc>
        <w:tc>
          <w:tcPr>
            <w:tcW w:w="3460" w:type="dxa"/>
            <w:vAlign w:val="bottom"/>
            <w:gridSpan w:val="13"/>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Borders>
              <w:top w:val="single" w:sz="8" w:color="0000FF"/>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S-18</w:t>
            </w:r>
          </w:p>
        </w:tc>
      </w:tr>
      <w:tr>
        <w:trPr>
          <w:trHeight w:val="157"/>
        </w:trPr>
        <w:tc>
          <w:tcPr>
            <w:tcW w:w="20" w:type="dxa"/>
            <w:vAlign w:val="bottom"/>
          </w:tcPr>
          <w:p>
            <w:pPr>
              <w:spacing w:after="0"/>
              <w:rPr>
                <w:sz w:val="13"/>
                <w:szCs w:val="13"/>
                <w:color w:val="auto"/>
              </w:rPr>
            </w:pPr>
          </w:p>
        </w:tc>
        <w:tc>
          <w:tcPr>
            <w:tcW w:w="3360" w:type="dxa"/>
            <w:vAlign w:val="bottom"/>
            <w:tcBorders>
              <w:bottom w:val="single" w:sz="8" w:color="0000FF"/>
            </w:tcBorders>
            <w:gridSpan w:val="17"/>
          </w:tcPr>
          <w:p>
            <w:pPr>
              <w:spacing w:after="0" w:line="157" w:lineRule="exact"/>
              <w:rPr>
                <w:sz w:val="20"/>
                <w:szCs w:val="20"/>
                <w:color w:val="auto"/>
              </w:rPr>
            </w:pPr>
            <w:r>
              <w:rPr>
                <w:rFonts w:ascii="Times New Roman" w:cs="Times New Roman" w:eastAsia="Times New Roman" w:hAnsi="Times New Roman"/>
                <w:sz w:val="14"/>
                <w:szCs w:val="14"/>
                <w:color w:val="0000FF"/>
                <w:w w:val="98"/>
              </w:rPr>
              <w:t>PLAN OF DISTRIBUTION (CONFLICTS OF INTEREST)</w:t>
            </w:r>
          </w:p>
        </w:tc>
        <w:tc>
          <w:tcPr>
            <w:tcW w:w="1300" w:type="dxa"/>
            <w:vAlign w:val="bottom"/>
            <w:gridSpan w:val="2"/>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S-25</w:t>
            </w:r>
          </w:p>
        </w:tc>
      </w:tr>
      <w:tr>
        <w:trPr>
          <w:trHeight w:val="157"/>
        </w:trPr>
        <w:tc>
          <w:tcPr>
            <w:tcW w:w="20" w:type="dxa"/>
            <w:vAlign w:val="bottom"/>
          </w:tcPr>
          <w:p>
            <w:pPr>
              <w:spacing w:after="0"/>
              <w:rPr>
                <w:sz w:val="13"/>
                <w:szCs w:val="13"/>
                <w:color w:val="auto"/>
              </w:rPr>
            </w:pPr>
          </w:p>
        </w:tc>
        <w:tc>
          <w:tcPr>
            <w:tcW w:w="1120" w:type="dxa"/>
            <w:vAlign w:val="bottom"/>
            <w:tcBorders>
              <w:bottom w:val="single" w:sz="8" w:color="0000FF"/>
            </w:tcBorders>
            <w:gridSpan w:val="5"/>
          </w:tcPr>
          <w:p>
            <w:pPr>
              <w:spacing w:after="0" w:line="157" w:lineRule="exact"/>
              <w:rPr>
                <w:sz w:val="20"/>
                <w:szCs w:val="20"/>
                <w:color w:val="auto"/>
              </w:rPr>
            </w:pPr>
            <w:r>
              <w:rPr>
                <w:rFonts w:ascii="Times New Roman" w:cs="Times New Roman" w:eastAsia="Times New Roman" w:hAnsi="Times New Roman"/>
                <w:sz w:val="14"/>
                <w:szCs w:val="14"/>
                <w:color w:val="0000FF"/>
                <w:w w:val="95"/>
              </w:rPr>
              <w:t>LEGAL MATTERS</w:t>
            </w:r>
          </w:p>
        </w:tc>
        <w:tc>
          <w:tcPr>
            <w:tcW w:w="3540" w:type="dxa"/>
            <w:vAlign w:val="bottom"/>
            <w:gridSpan w:val="14"/>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S-31</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EXPERTS</w:t>
            </w: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S-31</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Borders>
              <w:bottom w:val="single" w:sz="8" w:color="0000FF"/>
            </w:tcBorders>
            <w:gridSpan w:val="16"/>
          </w:tcPr>
          <w:p>
            <w:pPr>
              <w:spacing w:after="0" w:line="157" w:lineRule="exact"/>
              <w:rPr>
                <w:sz w:val="20"/>
                <w:szCs w:val="20"/>
                <w:color w:val="auto"/>
              </w:rPr>
            </w:pPr>
            <w:r>
              <w:rPr>
                <w:rFonts w:ascii="Times New Roman" w:cs="Times New Roman" w:eastAsia="Times New Roman" w:hAnsi="Times New Roman"/>
                <w:sz w:val="14"/>
                <w:szCs w:val="14"/>
                <w:color w:val="0000FF"/>
                <w:w w:val="97"/>
              </w:rPr>
              <w:t>WHERE YOU CAN FIND MORE INFORMATION</w:t>
            </w:r>
          </w:p>
        </w:tc>
        <w:tc>
          <w:tcPr>
            <w:tcW w:w="1720" w:type="dxa"/>
            <w:vAlign w:val="bottom"/>
            <w:gridSpan w:val="3"/>
          </w:tcPr>
          <w:p>
            <w:pPr>
              <w:spacing w:after="0"/>
              <w:rPr>
                <w:sz w:val="13"/>
                <w:szCs w:val="13"/>
                <w:color w:val="auto"/>
              </w:rPr>
            </w:pP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Borders>
              <w:bottom w:val="single" w:sz="8" w:color="0000FF"/>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S-31</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INCORPORATION BY REFERENCE</w:t>
            </w:r>
          </w:p>
        </w:tc>
        <w:tc>
          <w:tcPr>
            <w:tcW w:w="5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w w:val="98"/>
              </w:rPr>
              <w:t>S-32</w:t>
            </w:r>
          </w:p>
        </w:tc>
      </w:tr>
      <w:tr>
        <w:trPr>
          <w:trHeight w:val="20"/>
        </w:trPr>
        <w:tc>
          <w:tcPr>
            <w:tcW w:w="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75"/>
        </w:trPr>
        <w:tc>
          <w:tcPr>
            <w:tcW w:w="468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5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4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5"/>
        </w:trPr>
        <w:tc>
          <w:tcPr>
            <w:tcW w:w="20" w:type="dxa"/>
            <w:vAlign w:val="bottom"/>
          </w:tcPr>
          <w:p>
            <w:pPr>
              <w:spacing w:after="0"/>
              <w:rPr>
                <w:sz w:val="12"/>
                <w:szCs w:val="12"/>
                <w:color w:val="auto"/>
              </w:rPr>
            </w:pPr>
          </w:p>
        </w:tc>
        <w:tc>
          <w:tcPr>
            <w:tcW w:w="1720" w:type="dxa"/>
            <w:vAlign w:val="bottom"/>
            <w:tcBorders>
              <w:bottom w:val="single" w:sz="8" w:color="0000FF"/>
            </w:tcBorders>
            <w:gridSpan w:val="11"/>
          </w:tcPr>
          <w:p>
            <w:pPr>
              <w:spacing w:after="0" w:line="145" w:lineRule="exact"/>
              <w:rPr>
                <w:sz w:val="20"/>
                <w:szCs w:val="20"/>
                <w:color w:val="auto"/>
              </w:rPr>
            </w:pPr>
            <w:r>
              <w:rPr>
                <w:rFonts w:ascii="Times New Roman" w:cs="Times New Roman" w:eastAsia="Times New Roman" w:hAnsi="Times New Roman"/>
                <w:sz w:val="14"/>
                <w:szCs w:val="14"/>
                <w:color w:val="0000FF"/>
                <w:w w:val="97"/>
              </w:rPr>
              <w:t>ABOUT THIS PROSPECTUS</w:t>
            </w:r>
          </w:p>
        </w:tc>
        <w:tc>
          <w:tcPr>
            <w:tcW w:w="2940" w:type="dxa"/>
            <w:vAlign w:val="bottom"/>
            <w:gridSpan w:val="8"/>
          </w:tcPr>
          <w:p>
            <w:pPr>
              <w:spacing w:after="0"/>
              <w:rPr>
                <w:sz w:val="12"/>
                <w:szCs w:val="12"/>
                <w:color w:val="auto"/>
              </w:rPr>
            </w:pPr>
          </w:p>
        </w:tc>
        <w:tc>
          <w:tcPr>
            <w:tcW w:w="5760" w:type="dxa"/>
            <w:vAlign w:val="bottom"/>
          </w:tcPr>
          <w:p>
            <w:pPr>
              <w:spacing w:after="0"/>
              <w:rPr>
                <w:sz w:val="12"/>
                <w:szCs w:val="12"/>
                <w:color w:val="auto"/>
              </w:rPr>
            </w:pPr>
          </w:p>
        </w:tc>
        <w:tc>
          <w:tcPr>
            <w:tcW w:w="760" w:type="dxa"/>
            <w:vAlign w:val="bottom"/>
            <w:gridSpan w:val="3"/>
          </w:tcPr>
          <w:p>
            <w:pPr>
              <w:spacing w:after="0"/>
              <w:rPr>
                <w:sz w:val="12"/>
                <w:szCs w:val="12"/>
                <w:color w:val="auto"/>
              </w:rPr>
            </w:pPr>
          </w:p>
        </w:tc>
        <w:tc>
          <w:tcPr>
            <w:tcW w:w="80" w:type="dxa"/>
            <w:vAlign w:val="bottom"/>
            <w:tcBorders>
              <w:bottom w:val="single" w:sz="8" w:color="0000FF"/>
            </w:tcBorders>
          </w:tcPr>
          <w:p>
            <w:pPr>
              <w:jc w:val="right"/>
              <w:spacing w:after="0" w:line="145" w:lineRule="exact"/>
              <w:rPr>
                <w:sz w:val="20"/>
                <w:szCs w:val="20"/>
                <w:color w:val="auto"/>
              </w:rPr>
            </w:pPr>
            <w:r>
              <w:rPr>
                <w:rFonts w:ascii="Times New Roman" w:cs="Times New Roman" w:eastAsia="Times New Roman" w:hAnsi="Times New Roman"/>
                <w:sz w:val="14"/>
                <w:szCs w:val="14"/>
                <w:color w:val="0000FF"/>
                <w:w w:val="85"/>
              </w:rPr>
              <w:t>1</w:t>
            </w:r>
          </w:p>
        </w:tc>
      </w:tr>
      <w:tr>
        <w:trPr>
          <w:trHeight w:val="157"/>
        </w:trPr>
        <w:tc>
          <w:tcPr>
            <w:tcW w:w="20" w:type="dxa"/>
            <w:vAlign w:val="bottom"/>
          </w:tcPr>
          <w:p>
            <w:pPr>
              <w:spacing w:after="0"/>
              <w:rPr>
                <w:sz w:val="13"/>
                <w:szCs w:val="13"/>
                <w:color w:val="auto"/>
              </w:rPr>
            </w:pPr>
          </w:p>
        </w:tc>
        <w:tc>
          <w:tcPr>
            <w:tcW w:w="960" w:type="dxa"/>
            <w:vAlign w:val="bottom"/>
            <w:tcBorders>
              <w:bottom w:val="single" w:sz="8" w:color="0000FF"/>
            </w:tcBorders>
            <w:gridSpan w:val="3"/>
          </w:tcPr>
          <w:p>
            <w:pPr>
              <w:spacing w:after="0" w:line="157" w:lineRule="exact"/>
              <w:rPr>
                <w:sz w:val="20"/>
                <w:szCs w:val="20"/>
                <w:color w:val="auto"/>
              </w:rPr>
            </w:pPr>
            <w:r>
              <w:rPr>
                <w:rFonts w:ascii="Times New Roman" w:cs="Times New Roman" w:eastAsia="Times New Roman" w:hAnsi="Times New Roman"/>
                <w:sz w:val="14"/>
                <w:szCs w:val="14"/>
                <w:color w:val="0000FF"/>
                <w:w w:val="95"/>
              </w:rPr>
              <w:t>RISK FACTORS</w:t>
            </w:r>
          </w:p>
        </w:tc>
        <w:tc>
          <w:tcPr>
            <w:tcW w:w="3700" w:type="dxa"/>
            <w:vAlign w:val="bottom"/>
            <w:gridSpan w:val="16"/>
          </w:tcPr>
          <w:p>
            <w:pPr>
              <w:spacing w:after="0"/>
              <w:rPr>
                <w:sz w:val="13"/>
                <w:szCs w:val="13"/>
                <w:color w:val="auto"/>
              </w:rPr>
            </w:pPr>
          </w:p>
        </w:tc>
        <w:tc>
          <w:tcPr>
            <w:tcW w:w="6520" w:type="dxa"/>
            <w:vAlign w:val="bottom"/>
            <w:gridSpan w:val="4"/>
          </w:tcPr>
          <w:p>
            <w:pPr>
              <w:spacing w:after="0"/>
              <w:rPr>
                <w:sz w:val="13"/>
                <w:szCs w:val="13"/>
                <w:color w:val="auto"/>
              </w:rPr>
            </w:pPr>
          </w:p>
        </w:tc>
        <w:tc>
          <w:tcPr>
            <w:tcW w:w="80" w:type="dxa"/>
            <w:vAlign w:val="bottom"/>
            <w:tcBorders>
              <w:bottom w:val="single" w:sz="8" w:color="0000FF"/>
            </w:tcBorders>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2</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3</w:t>
            </w:r>
          </w:p>
        </w:tc>
      </w:tr>
      <w:tr>
        <w:trPr>
          <w:trHeight w:val="157"/>
        </w:trPr>
        <w:tc>
          <w:tcPr>
            <w:tcW w:w="20" w:type="dxa"/>
            <w:vAlign w:val="bottom"/>
          </w:tcPr>
          <w:p>
            <w:pPr>
              <w:spacing w:after="0"/>
              <w:rPr>
                <w:sz w:val="13"/>
                <w:szCs w:val="13"/>
                <w:color w:val="auto"/>
              </w:rPr>
            </w:pPr>
          </w:p>
        </w:tc>
        <w:tc>
          <w:tcPr>
            <w:tcW w:w="4440" w:type="dxa"/>
            <w:vAlign w:val="bottom"/>
            <w:tcBorders>
              <w:top w:val="single" w:sz="8" w:color="0000FF"/>
            </w:tcBorders>
            <w:gridSpan w:val="18"/>
          </w:tcPr>
          <w:p>
            <w:pPr>
              <w:spacing w:after="0" w:line="157" w:lineRule="exact"/>
              <w:rPr>
                <w:sz w:val="20"/>
                <w:szCs w:val="20"/>
                <w:color w:val="auto"/>
              </w:rPr>
            </w:pPr>
            <w:r>
              <w:rPr>
                <w:rFonts w:ascii="Times New Roman" w:cs="Times New Roman" w:eastAsia="Times New Roman" w:hAnsi="Times New Roman"/>
                <w:sz w:val="14"/>
                <w:szCs w:val="14"/>
                <w:color w:val="0000FF"/>
              </w:rPr>
              <w:t>THE COMPANY</w:t>
            </w:r>
          </w:p>
        </w:tc>
        <w:tc>
          <w:tcPr>
            <w:tcW w:w="220" w:type="dxa"/>
            <w:vAlign w:val="bottom"/>
          </w:tcPr>
          <w:p>
            <w:pPr>
              <w:spacing w:after="0"/>
              <w:rPr>
                <w:sz w:val="13"/>
                <w:szCs w:val="13"/>
                <w:color w:val="auto"/>
              </w:rPr>
            </w:pPr>
          </w:p>
        </w:tc>
        <w:tc>
          <w:tcPr>
            <w:tcW w:w="6520" w:type="dxa"/>
            <w:vAlign w:val="bottom"/>
            <w:gridSpan w:val="4"/>
          </w:tcPr>
          <w:p>
            <w:pPr>
              <w:spacing w:after="0"/>
              <w:rPr>
                <w:sz w:val="13"/>
                <w:szCs w:val="13"/>
                <w:color w:val="auto"/>
              </w:rPr>
            </w:pPr>
          </w:p>
        </w:tc>
        <w:tc>
          <w:tcPr>
            <w:tcW w:w="80" w:type="dxa"/>
            <w:vAlign w:val="bottom"/>
            <w:tcBorders>
              <w:top w:val="single" w:sz="8" w:color="0000FF"/>
            </w:tcBorders>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5</w:t>
            </w:r>
          </w:p>
        </w:tc>
      </w:tr>
      <w:tr>
        <w:trPr>
          <w:trHeight w:val="20"/>
        </w:trPr>
        <w:tc>
          <w:tcPr>
            <w:tcW w:w="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220" w:type="dxa"/>
            <w:vAlign w:val="bottom"/>
            <w:tcBorders>
              <w:bottom w:val="single" w:sz="8" w:color="0000FF"/>
            </w:tcBorders>
            <w:gridSpan w:val="7"/>
          </w:tcPr>
          <w:p>
            <w:pPr>
              <w:spacing w:after="0" w:line="157" w:lineRule="exact"/>
              <w:rPr>
                <w:sz w:val="20"/>
                <w:szCs w:val="20"/>
                <w:color w:val="auto"/>
              </w:rPr>
            </w:pPr>
            <w:r>
              <w:rPr>
                <w:rFonts w:ascii="Times New Roman" w:cs="Times New Roman" w:eastAsia="Times New Roman" w:hAnsi="Times New Roman"/>
                <w:sz w:val="14"/>
                <w:szCs w:val="14"/>
                <w:color w:val="0000FF"/>
                <w:w w:val="97"/>
              </w:rPr>
              <w:t>USE OF PROCEEDS</w:t>
            </w:r>
          </w:p>
        </w:tc>
        <w:tc>
          <w:tcPr>
            <w:tcW w:w="3440" w:type="dxa"/>
            <w:vAlign w:val="bottom"/>
            <w:gridSpan w:val="12"/>
          </w:tcPr>
          <w:p>
            <w:pPr>
              <w:spacing w:after="0"/>
              <w:rPr>
                <w:sz w:val="13"/>
                <w:szCs w:val="13"/>
                <w:color w:val="auto"/>
              </w:rPr>
            </w:pPr>
          </w:p>
        </w:tc>
        <w:tc>
          <w:tcPr>
            <w:tcW w:w="6520" w:type="dxa"/>
            <w:vAlign w:val="bottom"/>
            <w:gridSpan w:val="4"/>
          </w:tcPr>
          <w:p>
            <w:pPr>
              <w:spacing w:after="0"/>
              <w:rPr>
                <w:sz w:val="13"/>
                <w:szCs w:val="13"/>
                <w:color w:val="auto"/>
              </w:rPr>
            </w:pPr>
          </w:p>
        </w:tc>
        <w:tc>
          <w:tcPr>
            <w:tcW w:w="80" w:type="dxa"/>
            <w:vAlign w:val="bottom"/>
            <w:tcBorders>
              <w:bottom w:val="single" w:sz="8" w:color="0000FF"/>
            </w:tcBorders>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6</w:t>
            </w: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DESCRIPTION OF CAPITAL STOCK</w:t>
            </w: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7</w:t>
            </w:r>
          </w:p>
        </w:tc>
      </w:tr>
      <w:tr>
        <w:trPr>
          <w:trHeight w:val="20"/>
        </w:trPr>
        <w:tc>
          <w:tcPr>
            <w:tcW w:w="2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660" w:type="dxa"/>
            <w:vAlign w:val="bottom"/>
            <w:gridSpan w:val="19"/>
          </w:tcPr>
          <w:p>
            <w:pPr>
              <w:spacing w:after="0" w:line="157" w:lineRule="exact"/>
              <w:rPr>
                <w:sz w:val="20"/>
                <w:szCs w:val="20"/>
                <w:color w:val="auto"/>
              </w:rPr>
            </w:pPr>
            <w:r>
              <w:rPr>
                <w:rFonts w:ascii="Times New Roman" w:cs="Times New Roman" w:eastAsia="Times New Roman" w:hAnsi="Times New Roman"/>
                <w:sz w:val="14"/>
                <w:szCs w:val="14"/>
                <w:color w:val="0000FF"/>
              </w:rPr>
              <w:t>DESCRIPTION OF DEBT SECURITIES</w:t>
            </w: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14</w:t>
            </w:r>
          </w:p>
        </w:tc>
      </w:tr>
      <w:tr>
        <w:trPr>
          <w:trHeight w:val="20"/>
        </w:trPr>
        <w:tc>
          <w:tcPr>
            <w:tcW w:w="2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320" w:type="dxa"/>
            <w:vAlign w:val="bottom"/>
            <w:gridSpan w:val="14"/>
          </w:tcPr>
          <w:p>
            <w:pPr>
              <w:spacing w:after="0" w:line="157" w:lineRule="exact"/>
              <w:rPr>
                <w:sz w:val="20"/>
                <w:szCs w:val="20"/>
                <w:color w:val="auto"/>
              </w:rPr>
            </w:pPr>
            <w:r>
              <w:rPr>
                <w:rFonts w:ascii="Times New Roman" w:cs="Times New Roman" w:eastAsia="Times New Roman" w:hAnsi="Times New Roman"/>
                <w:sz w:val="14"/>
                <w:szCs w:val="14"/>
                <w:color w:val="0000FF"/>
              </w:rPr>
              <w:t>DESCRIPTION OF WARRANTS</w:t>
            </w:r>
          </w:p>
        </w:tc>
        <w:tc>
          <w:tcPr>
            <w:tcW w:w="2340" w:type="dxa"/>
            <w:vAlign w:val="bottom"/>
            <w:gridSpan w:val="5"/>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20</w:t>
            </w:r>
          </w:p>
        </w:tc>
      </w:tr>
      <w:tr>
        <w:trPr>
          <w:trHeight w:val="20"/>
        </w:trPr>
        <w:tc>
          <w:tcPr>
            <w:tcW w:w="2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560" w:type="dxa"/>
            <w:vAlign w:val="bottom"/>
            <w:gridSpan w:val="8"/>
          </w:tcPr>
          <w:p>
            <w:pPr>
              <w:spacing w:after="0" w:line="157" w:lineRule="exact"/>
              <w:rPr>
                <w:sz w:val="20"/>
                <w:szCs w:val="20"/>
                <w:color w:val="auto"/>
              </w:rPr>
            </w:pPr>
            <w:r>
              <w:rPr>
                <w:rFonts w:ascii="Times New Roman" w:cs="Times New Roman" w:eastAsia="Times New Roman" w:hAnsi="Times New Roman"/>
                <w:sz w:val="14"/>
                <w:szCs w:val="14"/>
                <w:color w:val="0000FF"/>
                <w:w w:val="97"/>
              </w:rPr>
              <w:t>DESCRIPTION OF UNITS</w:t>
            </w:r>
          </w:p>
        </w:tc>
        <w:tc>
          <w:tcPr>
            <w:tcW w:w="340" w:type="dxa"/>
            <w:vAlign w:val="bottom"/>
            <w:gridSpan w:val="4"/>
          </w:tcPr>
          <w:p>
            <w:pPr>
              <w:spacing w:after="0"/>
              <w:rPr>
                <w:sz w:val="13"/>
                <w:szCs w:val="13"/>
                <w:color w:val="auto"/>
              </w:rPr>
            </w:pPr>
          </w:p>
        </w:tc>
        <w:tc>
          <w:tcPr>
            <w:tcW w:w="2760" w:type="dxa"/>
            <w:vAlign w:val="bottom"/>
            <w:gridSpan w:val="7"/>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22</w:t>
            </w:r>
          </w:p>
        </w:tc>
      </w:tr>
      <w:tr>
        <w:trPr>
          <w:trHeight w:val="20"/>
        </w:trPr>
        <w:tc>
          <w:tcPr>
            <w:tcW w:w="2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700" w:type="dxa"/>
            <w:vAlign w:val="bottom"/>
            <w:gridSpan w:val="10"/>
          </w:tcPr>
          <w:p>
            <w:pPr>
              <w:spacing w:after="0" w:line="157" w:lineRule="exact"/>
              <w:rPr>
                <w:sz w:val="20"/>
                <w:szCs w:val="20"/>
                <w:color w:val="auto"/>
              </w:rPr>
            </w:pPr>
            <w:r>
              <w:rPr>
                <w:rFonts w:ascii="Times New Roman" w:cs="Times New Roman" w:eastAsia="Times New Roman" w:hAnsi="Times New Roman"/>
                <w:sz w:val="14"/>
                <w:szCs w:val="14"/>
                <w:color w:val="0000FF"/>
                <w:w w:val="97"/>
              </w:rPr>
              <w:t>SELLING STOCKHOLDERS</w:t>
            </w:r>
          </w:p>
        </w:tc>
        <w:tc>
          <w:tcPr>
            <w:tcW w:w="2960" w:type="dxa"/>
            <w:vAlign w:val="bottom"/>
            <w:gridSpan w:val="9"/>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25</w:t>
            </w:r>
          </w:p>
        </w:tc>
      </w:tr>
      <w:tr>
        <w:trPr>
          <w:trHeight w:val="20"/>
        </w:trPr>
        <w:tc>
          <w:tcPr>
            <w:tcW w:w="20" w:type="dxa"/>
            <w:vAlign w:val="bottom"/>
          </w:tcPr>
          <w:p>
            <w:pPr>
              <w:spacing w:after="0" w:line="20" w:lineRule="exact"/>
              <w:rPr>
                <w:sz w:val="1"/>
                <w:szCs w:val="1"/>
                <w:color w:val="auto"/>
              </w:rPr>
            </w:pPr>
          </w:p>
        </w:tc>
        <w:tc>
          <w:tcPr>
            <w:tcW w:w="1580" w:type="dxa"/>
            <w:vAlign w:val="bottom"/>
            <w:gridSpan w:val="9"/>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580" w:type="dxa"/>
            <w:vAlign w:val="bottom"/>
            <w:gridSpan w:val="9"/>
          </w:tcPr>
          <w:p>
            <w:pPr>
              <w:spacing w:after="0" w:line="157" w:lineRule="exact"/>
              <w:rPr>
                <w:sz w:val="20"/>
                <w:szCs w:val="20"/>
                <w:color w:val="auto"/>
              </w:rPr>
            </w:pPr>
            <w:r>
              <w:rPr>
                <w:rFonts w:ascii="Times New Roman" w:cs="Times New Roman" w:eastAsia="Times New Roman" w:hAnsi="Times New Roman"/>
                <w:sz w:val="14"/>
                <w:szCs w:val="14"/>
                <w:color w:val="0000FF"/>
                <w:w w:val="97"/>
              </w:rPr>
              <w:t>PLAN OF DISTRIBUTION</w:t>
            </w:r>
          </w:p>
        </w:tc>
        <w:tc>
          <w:tcPr>
            <w:tcW w:w="120" w:type="dxa"/>
            <w:vAlign w:val="bottom"/>
          </w:tcPr>
          <w:p>
            <w:pPr>
              <w:spacing w:after="0"/>
              <w:rPr>
                <w:sz w:val="13"/>
                <w:szCs w:val="13"/>
                <w:color w:val="auto"/>
              </w:rPr>
            </w:pPr>
          </w:p>
        </w:tc>
        <w:tc>
          <w:tcPr>
            <w:tcW w:w="2960" w:type="dxa"/>
            <w:vAlign w:val="bottom"/>
            <w:gridSpan w:val="9"/>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26</w:t>
            </w:r>
          </w:p>
        </w:tc>
      </w:tr>
      <w:tr>
        <w:trPr>
          <w:trHeight w:val="20"/>
        </w:trPr>
        <w:tc>
          <w:tcPr>
            <w:tcW w:w="20" w:type="dxa"/>
            <w:vAlign w:val="bottom"/>
          </w:tcPr>
          <w:p>
            <w:pPr>
              <w:spacing w:after="0" w:line="20" w:lineRule="exact"/>
              <w:rPr>
                <w:sz w:val="1"/>
                <w:szCs w:val="1"/>
                <w:color w:val="auto"/>
              </w:rPr>
            </w:pPr>
          </w:p>
        </w:tc>
        <w:tc>
          <w:tcPr>
            <w:tcW w:w="1580" w:type="dxa"/>
            <w:vAlign w:val="bottom"/>
            <w:gridSpan w:val="9"/>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gridSpan w:val="5"/>
          </w:tcPr>
          <w:p>
            <w:pPr>
              <w:spacing w:after="0" w:line="157" w:lineRule="exact"/>
              <w:rPr>
                <w:sz w:val="20"/>
                <w:szCs w:val="20"/>
                <w:color w:val="auto"/>
              </w:rPr>
            </w:pPr>
            <w:r>
              <w:rPr>
                <w:rFonts w:ascii="Times New Roman" w:cs="Times New Roman" w:eastAsia="Times New Roman" w:hAnsi="Times New Roman"/>
                <w:sz w:val="14"/>
                <w:szCs w:val="14"/>
                <w:color w:val="0000FF"/>
                <w:w w:val="95"/>
              </w:rPr>
              <w:t>LEGAL MATTERS</w:t>
            </w:r>
          </w:p>
        </w:tc>
        <w:tc>
          <w:tcPr>
            <w:tcW w:w="460" w:type="dxa"/>
            <w:vAlign w:val="bottom"/>
            <w:gridSpan w:val="4"/>
          </w:tcPr>
          <w:p>
            <w:pPr>
              <w:spacing w:after="0"/>
              <w:rPr>
                <w:sz w:val="13"/>
                <w:szCs w:val="13"/>
                <w:color w:val="auto"/>
              </w:rPr>
            </w:pPr>
          </w:p>
        </w:tc>
        <w:tc>
          <w:tcPr>
            <w:tcW w:w="3080" w:type="dxa"/>
            <w:vAlign w:val="bottom"/>
            <w:gridSpan w:val="10"/>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29</w:t>
            </w:r>
          </w:p>
        </w:tc>
      </w:tr>
      <w:tr>
        <w:trPr>
          <w:trHeight w:val="20"/>
        </w:trPr>
        <w:tc>
          <w:tcPr>
            <w:tcW w:w="20" w:type="dxa"/>
            <w:vAlign w:val="bottom"/>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120" w:type="dxa"/>
            <w:vAlign w:val="bottom"/>
            <w:gridSpan w:val="5"/>
          </w:tcPr>
          <w:p>
            <w:pPr>
              <w:spacing w:after="0" w:line="157" w:lineRule="exact"/>
              <w:rPr>
                <w:sz w:val="20"/>
                <w:szCs w:val="20"/>
                <w:color w:val="auto"/>
              </w:rPr>
            </w:pPr>
            <w:r>
              <w:rPr>
                <w:rFonts w:ascii="Times New Roman" w:cs="Times New Roman" w:eastAsia="Times New Roman" w:hAnsi="Times New Roman"/>
                <w:sz w:val="14"/>
                <w:szCs w:val="14"/>
                <w:color w:val="0000FF"/>
              </w:rPr>
              <w:t>EXPERTS</w:t>
            </w:r>
          </w:p>
        </w:tc>
        <w:tc>
          <w:tcPr>
            <w:tcW w:w="3540" w:type="dxa"/>
            <w:vAlign w:val="bottom"/>
            <w:gridSpan w:val="14"/>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29</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gridSpan w:val="16"/>
          </w:tcPr>
          <w:p>
            <w:pPr>
              <w:spacing w:after="0" w:line="157" w:lineRule="exact"/>
              <w:rPr>
                <w:sz w:val="20"/>
                <w:szCs w:val="20"/>
                <w:color w:val="auto"/>
              </w:rPr>
            </w:pPr>
            <w:r>
              <w:rPr>
                <w:rFonts w:ascii="Times New Roman" w:cs="Times New Roman" w:eastAsia="Times New Roman" w:hAnsi="Times New Roman"/>
                <w:sz w:val="14"/>
                <w:szCs w:val="14"/>
                <w:color w:val="0000FF"/>
                <w:w w:val="97"/>
              </w:rPr>
              <w:t>WHERE YOU CAN FIND MORE INFORMATION</w:t>
            </w:r>
          </w:p>
        </w:tc>
        <w:tc>
          <w:tcPr>
            <w:tcW w:w="1720" w:type="dxa"/>
            <w:vAlign w:val="bottom"/>
            <w:gridSpan w:val="3"/>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29</w:t>
            </w:r>
          </w:p>
        </w:tc>
      </w:tr>
      <w:tr>
        <w:trPr>
          <w:trHeight w:val="20"/>
        </w:trPr>
        <w:tc>
          <w:tcPr>
            <w:tcW w:w="20" w:type="dxa"/>
            <w:vAlign w:val="bottom"/>
          </w:tcPr>
          <w:p>
            <w:pPr>
              <w:spacing w:after="0" w:line="20" w:lineRule="exact"/>
              <w:rPr>
                <w:sz w:val="1"/>
                <w:szCs w:val="1"/>
                <w:color w:val="auto"/>
              </w:rPr>
            </w:pPr>
          </w:p>
        </w:tc>
        <w:tc>
          <w:tcPr>
            <w:tcW w:w="2160" w:type="dxa"/>
            <w:vAlign w:val="bottom"/>
            <w:gridSpan w:val="13"/>
            <w:shd w:val="clear" w:color="auto" w:fill="0000FF"/>
          </w:tcPr>
          <w:p>
            <w:pPr>
              <w:spacing w:after="0" w:line="20" w:lineRule="exact"/>
              <w:rPr>
                <w:sz w:val="1"/>
                <w:szCs w:val="1"/>
                <w:color w:val="auto"/>
              </w:rPr>
            </w:pPr>
          </w:p>
        </w:tc>
        <w:tc>
          <w:tcPr>
            <w:tcW w:w="780" w:type="dxa"/>
            <w:vAlign w:val="bottom"/>
            <w:tcBorders>
              <w:left w:val="single" w:sz="8" w:color="0000FF"/>
            </w:tcBorders>
            <w:gridSpan w:val="3"/>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gridSpan w:val="16"/>
          </w:tcPr>
          <w:p>
            <w:pPr>
              <w:spacing w:after="0" w:line="157" w:lineRule="exact"/>
              <w:rPr>
                <w:sz w:val="20"/>
                <w:szCs w:val="20"/>
                <w:color w:val="auto"/>
              </w:rPr>
            </w:pPr>
            <w:r>
              <w:rPr>
                <w:rFonts w:ascii="Times New Roman" w:cs="Times New Roman" w:eastAsia="Times New Roman" w:hAnsi="Times New Roman"/>
                <w:sz w:val="14"/>
                <w:szCs w:val="14"/>
                <w:color w:val="0000FF"/>
              </w:rPr>
              <w:t>INCORPORATION BY REFERENCE</w:t>
            </w:r>
          </w:p>
        </w:tc>
        <w:tc>
          <w:tcPr>
            <w:tcW w:w="1720" w:type="dxa"/>
            <w:vAlign w:val="bottom"/>
            <w:gridSpan w:val="3"/>
          </w:tcPr>
          <w:p>
            <w:pPr>
              <w:spacing w:after="0"/>
              <w:rPr>
                <w:sz w:val="13"/>
                <w:szCs w:val="13"/>
                <w:color w:val="auto"/>
              </w:rPr>
            </w:pPr>
          </w:p>
        </w:tc>
        <w:tc>
          <w:tcPr>
            <w:tcW w:w="6600" w:type="dxa"/>
            <w:vAlign w:val="bottom"/>
            <w:gridSpan w:val="5"/>
          </w:tcPr>
          <w:p>
            <w:pPr>
              <w:jc w:val="right"/>
              <w:spacing w:after="0" w:line="157" w:lineRule="exact"/>
              <w:rPr>
                <w:sz w:val="20"/>
                <w:szCs w:val="20"/>
                <w:color w:val="auto"/>
              </w:rPr>
            </w:pPr>
            <w:r>
              <w:rPr>
                <w:rFonts w:ascii="Times New Roman" w:cs="Times New Roman" w:eastAsia="Times New Roman" w:hAnsi="Times New Roman"/>
                <w:sz w:val="14"/>
                <w:szCs w:val="14"/>
                <w:color w:val="0000FF"/>
              </w:rPr>
              <w:t>30</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191" w:lineRule="exact"/>
        <w:rPr>
          <w:sz w:val="20"/>
          <w:szCs w:val="20"/>
          <w:color w:val="auto"/>
        </w:rPr>
      </w:pPr>
    </w:p>
    <w:p>
      <w:pPr>
        <w:ind w:firstLine="249"/>
        <w:spacing w:after="0" w:line="254" w:lineRule="auto"/>
        <w:rPr>
          <w:sz w:val="20"/>
          <w:szCs w:val="20"/>
          <w:color w:val="auto"/>
        </w:rPr>
      </w:pPr>
      <w:r>
        <w:rPr>
          <w:rFonts w:ascii="Times New Roman" w:cs="Times New Roman" w:eastAsia="Times New Roman" w:hAnsi="Times New Roman"/>
          <w:sz w:val="14"/>
          <w:szCs w:val="14"/>
          <w:b w:val="1"/>
          <w:bCs w:val="1"/>
          <w:color w:val="auto"/>
        </w:rPr>
        <w:t>Neither we nor any of the sales agents, the forward sellers or the forward purchasers (or any of their affiliates) have authorized anyone to provide you with information different from that contained or incorporated by reference in this prospectus supplement, the accompanying prospectus or any free writing prospectus prepared by us or on our behalf. Neither we nor any of the sales agents, the forward sellers or the forward purchasers (or any of their affiliates) take any responsibility for, or can provide any assurance as to the reliability of, any information other than the information contained or incorporated by reference in this prospectus supplement, the accompanying prospectus or any free writing prospectus prepared by us or on our behalf. We and each of the sales agents, the forward sellers and the forward purchasers are offering to sell, and seeking offers to buy, shares of our common stock only in jurisdictions where offers and sales are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249"/>
        <w:spacing w:after="0" w:line="258" w:lineRule="auto"/>
        <w:rPr>
          <w:sz w:val="20"/>
          <w:szCs w:val="20"/>
          <w:color w:val="auto"/>
        </w:rPr>
      </w:pPr>
      <w:r>
        <w:rPr>
          <w:rFonts w:ascii="Times New Roman" w:cs="Times New Roman" w:eastAsia="Times New Roman" w:hAnsi="Times New Roman"/>
          <w:sz w:val="14"/>
          <w:szCs w:val="14"/>
          <w:b w:val="1"/>
          <w:bCs w:val="1"/>
          <w:color w:val="auto"/>
        </w:rPr>
        <w:t>You should assume that the information appearing or incorporated by reference in this prospectus supplement,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1240"/>
          </w:cols>
          <w:pgMar w:left="300" w:top="12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32" w:lineRule="exact"/>
        <w:rPr>
          <w:sz w:val="20"/>
          <w:szCs w:val="20"/>
          <w:color w:val="auto"/>
        </w:rPr>
      </w:pPr>
    </w:p>
    <w:p>
      <w:pPr>
        <w:ind w:right="40" w:firstLine="249"/>
        <w:spacing w:after="0" w:line="275" w:lineRule="auto"/>
        <w:rPr>
          <w:sz w:val="20"/>
          <w:szCs w:val="20"/>
          <w:color w:val="auto"/>
        </w:rPr>
      </w:pPr>
      <w:r>
        <w:rPr>
          <w:rFonts w:ascii="Times New Roman" w:cs="Times New Roman" w:eastAsia="Times New Roman" w:hAnsi="Times New Roman"/>
          <w:sz w:val="13"/>
          <w:szCs w:val="13"/>
          <w:color w:val="auto"/>
        </w:rPr>
        <w:t>On March 11, 2025, Rocket Lab USA, Inc., a Delaware corporation, our predecessor, filed with the SEC an automatic registration statement on Form S-3ASR (File No. 333-285707) (the “Automatic Shelf Registration Statement”) utilizing a shelf registration process relating to certain securities that may be offered by us, including the securities described in this prospectus supplement, which became effective automatically upon filing. On May 27, 2025, we filed Amendment No. 1 to the Automatic Shelf Registration Statement pursuant to Rule 414 under the Securities Act, to adopt the Automatic Shelf Registration Statement of Rocket Lab USA, Inc. following the Holding Company Reorganization (as defined below), which amendment became effective automatically upon filing. As a result, references to the issuer and securities offered under the base prospectus accompanying this prospectus supplement refer to Rocket Lab Corporation and its securities following the Holding Company Reorganization. Unless the context otherwise indicates, references in this prospectus supplement to “Rocket Lab”, “we,” “our” and “us” refer, collectively, to Rocket Lab Corporation, a Delaware corporation, and its consolidated subsidiaries, and prior to the Holding Company Reorganization (defined below), to our predecessor Rocket Lab USA, Inc. and its consolidated subsidiaries.</w:t>
      </w:r>
    </w:p>
    <w:p>
      <w:pPr>
        <w:spacing w:after="0" w:line="89" w:lineRule="exact"/>
        <w:rPr>
          <w:sz w:val="20"/>
          <w:szCs w:val="20"/>
          <w:color w:val="auto"/>
        </w:rPr>
      </w:pPr>
    </w:p>
    <w:p>
      <w:pPr>
        <w:ind w:right="260" w:firstLine="249"/>
        <w:spacing w:after="0" w:line="257"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specific terms of this offering of our common stock and certain other matters relating to us and our business. The second part, the accompanying prospectus, contains and incorporates by reference important business and financial information about us, a description of our common stock and certain other information about us and this offering. This prospectus supplement and the accompanying prospectus are part of a registration statement that we filed with the SEC using a “shelf” registration process.</w:t>
      </w:r>
    </w:p>
    <w:p>
      <w:pPr>
        <w:spacing w:after="0" w:line="100" w:lineRule="exact"/>
        <w:rPr>
          <w:sz w:val="20"/>
          <w:szCs w:val="20"/>
          <w:color w:val="auto"/>
        </w:rPr>
      </w:pPr>
    </w:p>
    <w:p>
      <w:pPr>
        <w:ind w:right="120" w:firstLine="249"/>
        <w:spacing w:after="0" w:line="273" w:lineRule="auto"/>
        <w:rPr>
          <w:sz w:val="20"/>
          <w:szCs w:val="20"/>
          <w:color w:val="auto"/>
        </w:rPr>
      </w:pPr>
      <w:r>
        <w:rPr>
          <w:rFonts w:ascii="Times New Roman" w:cs="Times New Roman" w:eastAsia="Times New Roman" w:hAnsi="Times New Roman"/>
          <w:sz w:val="13"/>
          <w:szCs w:val="13"/>
          <w:color w:val="auto"/>
        </w:rPr>
        <w:t>The information contained in this prospectus supplement may add, update or change information contained in the accompanying prospectus or in documents that we file or have filed with the SEC. You should read both this prospectus supplement and the accompanying prospectus, together with additional information described below under the headings “Where You Can Find More Information” and “Incorporation of Certain Documents by Reference.” To the extent the information contained in this prospectus supplement differs or varies from the information contained in the accompanying prospectus or documents incorporated by reference filed before the date of this prospectus supplement, the information in this prospectus supplement will supersede such information. Any statement modified or superseded by a statement made in a subsequently filed document that is incorporated or deemed to be incorporated by reference in this prospectus supplement will not be deemed, except as so modified or superseded, to constitute a part of this prospectus supplement. For further information, we refer you to our Registration Statement, including its exhibits, of which this prospectus supplement and the accompanying prospectus form a part. We are subject to the informational requirements of the Securities Exchange Act of 1934, as amended (the “Exchange Act”), and therefore file reports and other information with the SEC. Statements contained in this prospectus supplement and the accompanying prospectus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90" w:lineRule="exact"/>
        <w:rPr>
          <w:sz w:val="20"/>
          <w:szCs w:val="20"/>
          <w:color w:val="auto"/>
        </w:rPr>
      </w:pPr>
    </w:p>
    <w:p>
      <w:pPr>
        <w:ind w:firstLine="249"/>
        <w:spacing w:after="0" w:line="255" w:lineRule="auto"/>
        <w:rPr>
          <w:sz w:val="20"/>
          <w:szCs w:val="20"/>
          <w:color w:val="auto"/>
        </w:rPr>
      </w:pPr>
      <w:r>
        <w:rPr>
          <w:rFonts w:ascii="Times New Roman" w:cs="Times New Roman" w:eastAsia="Times New Roman" w:hAnsi="Times New Roman"/>
          <w:sz w:val="14"/>
          <w:szCs w:val="14"/>
          <w:color w:val="auto"/>
        </w:rPr>
        <w:t>Neither we nor any of the sales agents, the forward sellers or the forward purchasers have authorized anyone to provide you with any information other than that contained or incorporated by reference in this prospectus supplement and the accompanying prospectus, along with the information contained in any free writing prospectuses we have authorized for use in connection with this offering. Neither we nor any of the sales agents, the forward sellers or the forward purchasers take any responsibility for, and can provide no assurance as to the reliability of, any other information that others may give you. This prospectus supplement and the accompanying prospectus is an offer to sell only the securities offered hereby, but only under circumstances and in jurisdictions where it is lawful to do so.</w:t>
      </w:r>
    </w:p>
    <w:p>
      <w:pPr>
        <w:spacing w:after="0" w:line="100" w:lineRule="exact"/>
        <w:rPr>
          <w:sz w:val="20"/>
          <w:szCs w:val="20"/>
          <w:color w:val="auto"/>
        </w:rPr>
      </w:pPr>
    </w:p>
    <w:p>
      <w:pPr>
        <w:ind w:right="40" w:firstLine="249"/>
        <w:spacing w:after="0" w:line="262" w:lineRule="auto"/>
        <w:rPr>
          <w:sz w:val="20"/>
          <w:szCs w:val="20"/>
          <w:color w:val="auto"/>
        </w:rPr>
      </w:pPr>
      <w:r>
        <w:rPr>
          <w:rFonts w:ascii="Times New Roman" w:cs="Times New Roman" w:eastAsia="Times New Roman" w:hAnsi="Times New Roman"/>
          <w:sz w:val="14"/>
          <w:szCs w:val="14"/>
          <w:color w:val="auto"/>
        </w:rPr>
        <w:t>The information appearing in this prospectus supplement and the accompanying prospectus is accurate only as of the date on the front of the document and that any information we have incorporated by reference is accurate only as of the date of the document incorporated by reference, regardless of the time of delivery of this prospectus supplement and the accompanying prospectus, or any sale of securities.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880"/>
          </w:cols>
          <w:pgMar w:left="300" w:top="125" w:right="7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32" w:lineRule="exact"/>
        <w:rPr>
          <w:sz w:val="20"/>
          <w:szCs w:val="20"/>
          <w:color w:val="auto"/>
        </w:rPr>
      </w:pPr>
    </w:p>
    <w:p>
      <w:pPr>
        <w:ind w:right="20" w:firstLine="249"/>
        <w:spacing w:after="0" w:line="252"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incorporated by reference herein and therein contains forward-looking statements within the meaning of Section 27A of the Securities Act, and Section 21E of the Exchange Act and the Private Securities Litigation Reform Act of 1995. Our forward-looking statements include, but are not limited to, statements relating to the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“could,” “expect,” “intends,” “may,” “might,” “plan,” “potential,” “predict,” “project,” “should,” “will,” “would” and similar expressions may identify forward-looking statements, but the absence of these words does not mean that a statement is not forward-looking. These forward-looking statements involve a number of risks, uncertainties (some of which are beyond our control) or other assumptions that may cause actual results or performance to be materially different from those expressed or implied by these forward-looking statements. Forward-looking statements in this report may include, for example, statements about:</w:t>
      </w:r>
    </w:p>
    <w:p>
      <w:pPr>
        <w:spacing w:after="0" w:line="105" w:lineRule="exact"/>
        <w:rPr>
          <w:sz w:val="20"/>
          <w:szCs w:val="20"/>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future growth and achieve operational efficiencies;</w:t>
      </w:r>
    </w:p>
    <w:p>
      <w:pPr>
        <w:spacing w:after="0" w:line="129" w:lineRule="exact"/>
        <w:rPr>
          <w:rFonts w:ascii="Times New Roman" w:cs="Times New Roman" w:eastAsia="Times New Roman" w:hAnsi="Times New Roman"/>
          <w:sz w:val="14"/>
          <w:szCs w:val="14"/>
          <w:color w:val="auto"/>
        </w:rPr>
      </w:pPr>
    </w:p>
    <w:p>
      <w:pPr>
        <w:ind w:left="500" w:right="180" w:hanging="248"/>
        <w:spacing w:after="0" w:line="278" w:lineRule="auto"/>
        <w:tabs>
          <w:tab w:leader="none" w:pos="4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inability of us to operate our Electron Launch Vehicle (“Electron”) at its anticipated launch rate, including due to any government action related to launch failure and our ability to operate, could adversely impact our business, financial condition and results of operations;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develop our Neutron Launch Vehicle (“Neutron”) or significant delays in developing Neutron could adversely impact our business, financial condition and results of operations;</w:t>
      </w:r>
    </w:p>
    <w:p>
      <w:pPr>
        <w:spacing w:after="0" w:line="129" w:lineRule="exact"/>
        <w:rPr>
          <w:rFonts w:ascii="Times New Roman" w:cs="Times New Roman" w:eastAsia="Times New Roman" w:hAnsi="Times New Roman"/>
          <w:sz w:val="14"/>
          <w:szCs w:val="14"/>
          <w:color w:val="auto"/>
        </w:rPr>
      </w:pPr>
    </w:p>
    <w:p>
      <w:pPr>
        <w:ind w:left="500" w:right="220" w:hanging="248"/>
        <w:spacing w:after="0" w:line="278" w:lineRule="auto"/>
        <w:tabs>
          <w:tab w:leader="none" w:pos="4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retaining or recruiting, or changes required in, officers, key employees or directors, and our ability to attract and retain key personnel, including Sir Peter Beck, our President, Chief Executive Officer and Chairman;</w:t>
      </w:r>
    </w:p>
    <w:p>
      <w:pPr>
        <w:spacing w:after="0" w:line="84"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utilize our launch pads at our private launch complex in Mahia, New Zealand or at NASA’s Wallops Flight Facility, at Wallops Island, Virginia with sufficient frequency to support our launch cadence and future related revenue growth expectations could adversely impact our business, financial condition and results of operations;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spacecraft, space systems or space system components failing to operate as intended could have a material adverse effect on our business, financial condition and results of operations;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implement our business plans, forecasts and other expectations, including the integration of recently acquired businesses, and to identify and realize additional opportunities;</w:t>
      </w:r>
    </w:p>
    <w:p>
      <w:pPr>
        <w:spacing w:after="0" w:line="129" w:lineRule="exact"/>
        <w:rPr>
          <w:rFonts w:ascii="Times New Roman" w:cs="Times New Roman" w:eastAsia="Times New Roman" w:hAnsi="Times New Roman"/>
          <w:sz w:val="14"/>
          <w:szCs w:val="14"/>
          <w:color w:val="auto"/>
        </w:rPr>
      </w:pPr>
    </w:p>
    <w:p>
      <w:pPr>
        <w:ind w:left="500" w:right="200" w:hanging="248"/>
        <w:spacing w:after="0" w:line="278" w:lineRule="auto"/>
        <w:tabs>
          <w:tab w:leader="none" w:pos="4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and highly regulated industries in which we operate, variations in operating performance across competitors, changes in laws and regulations affecting our business and changes in our capital structure;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policies, priorities, regulations, mandates or funding for programs in which we or our customers participate, which could negatively impact our business;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trade policies, including tariffs;</w:t>
      </w:r>
    </w:p>
    <w:p>
      <w:pPr>
        <w:spacing w:after="0" w:line="129" w:lineRule="exact"/>
        <w:rPr>
          <w:rFonts w:ascii="Times New Roman" w:cs="Times New Roman" w:eastAsia="Times New Roman" w:hAnsi="Times New Roman"/>
          <w:sz w:val="14"/>
          <w:szCs w:val="14"/>
          <w:color w:val="auto"/>
        </w:rPr>
      </w:pPr>
    </w:p>
    <w:p>
      <w:pPr>
        <w:ind w:left="500" w:right="160" w:hanging="248"/>
        <w:spacing w:after="0" w:line="278" w:lineRule="auto"/>
        <w:tabs>
          <w:tab w:leader="none" w:pos="4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or default by, one or more of our key customers or inability of customers to fund contractual commitments, which could result in a decline in future revenues, cancellation of contracted launches or space systems orders or termination or default of existing agreements;</w:t>
      </w:r>
    </w:p>
    <w:p>
      <w:pPr>
        <w:spacing w:after="0" w:line="84" w:lineRule="exact"/>
        <w:rPr>
          <w:rFonts w:ascii="Times New Roman" w:cs="Times New Roman" w:eastAsia="Times New Roman" w:hAnsi="Times New Roman"/>
          <w:sz w:val="14"/>
          <w:szCs w:val="14"/>
          <w:color w:val="auto"/>
        </w:rPr>
      </w:pPr>
    </w:p>
    <w:p>
      <w:pPr>
        <w:ind w:left="500" w:right="420" w:hanging="248"/>
        <w:spacing w:after="0" w:line="262" w:lineRule="auto"/>
        <w:tabs>
          <w:tab w:leader="none" w:pos="49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comply with, and costs associated with complying, any contractual requirements, covenants and applicable regulations, and specifically, United States (“U.S.”) government contract regulations, which could result in loss of contract opportunities, contract modifications or termination, assessment of penalties and fines, and suspension or debarment from U.S. government contracting or subcontracting;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right="340" w:hanging="248"/>
        <w:spacing w:after="0" w:line="278"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w:t>
      </w:r>
    </w:p>
    <w:p>
      <w:pPr>
        <w:spacing w:after="0" w:line="84" w:lineRule="exact"/>
        <w:rPr>
          <w:rFonts w:ascii="Times New Roman" w:cs="Times New Roman" w:eastAsia="Times New Roman" w:hAnsi="Times New Roman"/>
          <w:sz w:val="14"/>
          <w:szCs w:val="14"/>
          <w:color w:val="auto"/>
        </w:rPr>
      </w:pPr>
    </w:p>
    <w:p>
      <w:pPr>
        <w:ind w:left="500" w:right="220" w:hanging="248"/>
        <w:spacing w:after="0" w:line="278"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disruption in or unauthorized access to our computer systems or those of third parties that we utilize in our operations, including those relating to cybersecurity or arising from cyber-attacks;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or failure to protect intellectual property;</w:t>
      </w:r>
    </w:p>
    <w:p>
      <w:pPr>
        <w:spacing w:after="0" w:line="129" w:lineRule="exact"/>
        <w:rPr>
          <w:rFonts w:ascii="Times New Roman" w:cs="Times New Roman" w:eastAsia="Times New Roman" w:hAnsi="Times New Roman"/>
          <w:sz w:val="14"/>
          <w:szCs w:val="14"/>
          <w:color w:val="auto"/>
        </w:rPr>
      </w:pPr>
    </w:p>
    <w:p>
      <w:pPr>
        <w:ind w:left="500" w:right="480" w:hanging="248"/>
        <w:spacing w:after="0" w:line="278"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the supply of key raw materials or components used to produce our products or increases in prices of raw materials, including restrictions on our ability to obtain rare earth minerals;</w:t>
      </w:r>
    </w:p>
    <w:p>
      <w:pPr>
        <w:spacing w:after="0" w:line="84"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diversion of management’s attention and consumption of resources as a result of acquisitions of other companies and success in integrating and otherwise achieving the benefits of recent and potential acquisitions;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inflation and interest rates, and fluctuations in foreign exchange rates;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the wars in Ukraine, Israel, Iran or other global conflicts;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downturns in government and commercial launch services and spacecraft industries;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anticipate changes in the markets for rocket launch services, mission services, spacecraft and spacecraft components;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adequate operational and financial resources or raise additional capital or generate sufficient cash flows;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of this prospectus supplement, the accompanying prospectus and the documents incorporated by reference herein and therein titled “Risk Factors.”</w:t>
      </w:r>
    </w:p>
    <w:p>
      <w:pPr>
        <w:spacing w:after="0" w:line="130"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global crises and/or any response to such a crisis and there may be additional risks that we consider immaterial or which are unknown. It is not possible to predict or identify all such risks.</w:t>
      </w:r>
    </w:p>
    <w:p>
      <w:pPr>
        <w:spacing w:after="0" w:line="96" w:lineRule="exact"/>
        <w:rPr>
          <w:sz w:val="20"/>
          <w:szCs w:val="20"/>
          <w:color w:val="auto"/>
        </w:rPr>
      </w:pPr>
    </w:p>
    <w:p>
      <w:pPr>
        <w:ind w:right="80" w:firstLine="249"/>
        <w:spacing w:after="0" w:line="255"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supplement, the accompanying prospectus and the documents incorporated by reference herein and therein are based on information available to us at the time of such filing and current expectations, forecasts, assumptions and beliefs concerning future developments and their potential effects, and involve a number of judgments, risks and uncertainties. There can be no assurance that future developments affecting us will be those that we have anticipated.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1240"/>
          </w:cols>
          <w:pgMar w:left="300" w:top="12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616585</wp:posOffset>
            </wp:positionV>
            <wp:extent cx="7169785" cy="4643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785" cy="464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30" w:lineRule="exact"/>
        <w:rPr>
          <w:sz w:val="20"/>
          <w:szCs w:val="20"/>
          <w:color w:val="auto"/>
        </w:rPr>
      </w:pPr>
    </w:p>
    <w:p>
      <w:pPr>
        <w:ind w:left="520" w:right="80" w:firstLine="249"/>
        <w:spacing w:after="0" w:line="258"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or incorporated by reference in this prospectus supplement, the accompanying prospectus or any free writing prospectus prepared by us or on our behalf. It does not contain all of the information that you should consider before investing in shares of our common stock. You should carefully read this entire prospectus supplement, the accompanying prospectus and documents incorporated herein and therein, including the factors described or referred to under the heading “Risk Factors” in our Annual Report on Form 10-K and our Quarterly Reports on Form 10-Q.</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highlight w:val="white"/>
        </w:rPr>
        <w:t>Overview</w:t>
      </w:r>
    </w:p>
    <w:p>
      <w:pPr>
        <w:spacing w:after="0" w:line="132" w:lineRule="exact"/>
        <w:rPr>
          <w:sz w:val="20"/>
          <w:szCs w:val="20"/>
          <w:color w:val="auto"/>
        </w:rPr>
      </w:pPr>
    </w:p>
    <w:p>
      <w:pPr>
        <w:ind w:left="520" w:right="560" w:firstLine="249"/>
        <w:spacing w:after="0" w:line="278" w:lineRule="auto"/>
        <w:rPr>
          <w:sz w:val="20"/>
          <w:szCs w:val="20"/>
          <w:color w:val="auto"/>
        </w:rPr>
      </w:pPr>
      <w:r>
        <w:rPr>
          <w:rFonts w:ascii="Times New Roman" w:cs="Times New Roman" w:eastAsia="Times New Roman" w:hAnsi="Times New Roman"/>
          <w:sz w:val="14"/>
          <w:szCs w:val="14"/>
          <w:color w:val="auto"/>
          <w:highlight w:val="white"/>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w:t>
      </w:r>
    </w:p>
    <w:p>
      <w:pPr>
        <w:spacing w:after="0" w:line="84" w:lineRule="exact"/>
        <w:rPr>
          <w:sz w:val="20"/>
          <w:szCs w:val="20"/>
          <w:color w:val="auto"/>
        </w:rPr>
      </w:pPr>
    </w:p>
    <w:p>
      <w:pPr>
        <w:ind w:left="520" w:right="80" w:firstLine="249"/>
        <w:spacing w:after="0" w:line="262" w:lineRule="auto"/>
        <w:rPr>
          <w:sz w:val="20"/>
          <w:szCs w:val="20"/>
          <w:color w:val="auto"/>
        </w:rPr>
      </w:pPr>
      <w:r>
        <w:rPr>
          <w:rFonts w:ascii="Times New Roman" w:cs="Times New Roman" w:eastAsia="Times New Roman" w:hAnsi="Times New Roman"/>
          <w:sz w:val="14"/>
          <w:szCs w:val="14"/>
          <w:color w:val="auto"/>
          <w:highlight w:val="white"/>
        </w:rPr>
        <w:t>While our business has historically been centered on the manufacture of small-class launch vehicles and the related sale of launch services, we are currently innovating in the areas of medium-class launch vehicle and launch services, space systems design and manufacturing, on-orbit management solutions and space data applications. Each of these initiatives addresses a critical component of the end-to-end solution and our value proposition for the space economy:</w:t>
      </w:r>
    </w:p>
    <w:p>
      <w:pPr>
        <w:spacing w:after="0" w:line="96" w:lineRule="exact"/>
        <w:rPr>
          <w:sz w:val="20"/>
          <w:szCs w:val="20"/>
          <w:color w:val="auto"/>
        </w:rPr>
      </w:pPr>
    </w:p>
    <w:p>
      <w:pPr>
        <w:ind w:left="1020" w:hanging="25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 Services is the design, manufacture, and launch of orbital rockets to deploy payloads to various Earth orbits and interplanetary destinations.</w:t>
      </w:r>
    </w:p>
    <w:p>
      <w:pPr>
        <w:spacing w:after="0" w:line="129" w:lineRule="exact"/>
        <w:rPr>
          <w:rFonts w:ascii="Times New Roman" w:cs="Times New Roman" w:eastAsia="Times New Roman" w:hAnsi="Times New Roman"/>
          <w:sz w:val="14"/>
          <w:szCs w:val="14"/>
          <w:color w:val="auto"/>
        </w:rPr>
      </w:pPr>
    </w:p>
    <w:p>
      <w:pPr>
        <w:ind w:left="1020" w:hanging="255"/>
        <w:spacing w:after="0"/>
        <w:tabs>
          <w:tab w:leader="none" w:pos="10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Space Systems is the design and manufacture of components and spacecraft program management services, space data applications, mission operations and optical systems.</w:t>
      </w:r>
    </w:p>
    <w:p>
      <w:pPr>
        <w:spacing w:after="0" w:line="130" w:lineRule="exact"/>
        <w:rPr>
          <w:sz w:val="20"/>
          <w:szCs w:val="20"/>
          <w:color w:val="auto"/>
        </w:rPr>
      </w:pPr>
    </w:p>
    <w:p>
      <w:pPr>
        <w:ind w:left="520" w:right="40" w:firstLine="249"/>
        <w:spacing w:after="0" w:line="253" w:lineRule="auto"/>
        <w:rPr>
          <w:sz w:val="20"/>
          <w:szCs w:val="20"/>
          <w:color w:val="auto"/>
        </w:rPr>
      </w:pPr>
      <w:r>
        <w:rPr>
          <w:rFonts w:ascii="Times New Roman" w:cs="Times New Roman" w:eastAsia="Times New Roman" w:hAnsi="Times New Roman"/>
          <w:sz w:val="14"/>
          <w:szCs w:val="14"/>
          <w:color w:val="auto"/>
          <w:highlight w:val="white"/>
        </w:rPr>
        <w:t>Electron is our orbital small launch vehicle that was designed from the ground up to accommodate a high launch rate business model to meet the growing and dynamic needs of our customers for small launch services. Since its maiden launch in 2017, Electron has become the leading small spacecraft launch vehicle delivering over 200 spacecraft to orbit for government and commercial customers across 81 successful missions through March 31, 2026. In 2025, Electron was the second most frequently launched orbital rocket. Our launch services program has seen us develop many industry-leading innovations, including 3D printed electric turbo-pump rocket engines, fully carbon composite first stage fuel tanks, a private orbital launch complex, a rocket stage that can be configured to convert into a highly capable spacecraft on orbit, and the potential ability to successfully recover a stage from space, providing a path to reusability.</w:t>
      </w:r>
    </w:p>
    <w:p>
      <w:pPr>
        <w:spacing w:after="0" w:line="104" w:lineRule="exact"/>
        <w:rPr>
          <w:sz w:val="20"/>
          <w:szCs w:val="20"/>
          <w:color w:val="auto"/>
        </w:rPr>
      </w:pPr>
    </w:p>
    <w:p>
      <w:pPr>
        <w:ind w:left="520" w:right="100" w:firstLine="249"/>
        <w:spacing w:after="0" w:line="255" w:lineRule="auto"/>
        <w:rPr>
          <w:sz w:val="20"/>
          <w:szCs w:val="20"/>
          <w:color w:val="auto"/>
        </w:rPr>
      </w:pPr>
      <w:r>
        <w:rPr>
          <w:rFonts w:ascii="Times New Roman" w:cs="Times New Roman" w:eastAsia="Times New Roman" w:hAnsi="Times New Roman"/>
          <w:sz w:val="14"/>
          <w:szCs w:val="14"/>
          <w:color w:val="auto"/>
          <w:highlight w:val="white"/>
        </w:rPr>
        <w:t>In March 2021, we announced plans to develop our reusable-ready medium-capacity Neutron launch vehicle that will increase the payload capacity of our space launch vehicles to approximately 13,000 kg for reusable configuration launches to low Earth orbit and support lighter payloads for higher orbits. Neutron will be tailored for commercial and U.S. government constellation launches and ultimately configurable for and capable of human space flight, enabling us to provide crew and cargo resupply to space stations. Neutron will also provide a dedicated service to orbit for larger civil, defense and commercial payloads that need a high level of schedule control and high-flight cadence. We expect to be able to leverage Electron’s flight heritage across various vehicle subsystems designs, launch complexes and ground station infrastructure.</w:t>
      </w:r>
    </w:p>
    <w:p>
      <w:pPr>
        <w:spacing w:after="0" w:line="100" w:lineRule="exact"/>
        <w:rPr>
          <w:sz w:val="20"/>
          <w:szCs w:val="20"/>
          <w:color w:val="auto"/>
        </w:rPr>
      </w:pPr>
    </w:p>
    <w:p>
      <w:pPr>
        <w:ind w:left="520" w:firstLine="249"/>
        <w:spacing w:after="0" w:line="252" w:lineRule="auto"/>
        <w:rPr>
          <w:sz w:val="20"/>
          <w:szCs w:val="20"/>
          <w:color w:val="auto"/>
        </w:rPr>
      </w:pPr>
      <w:r>
        <w:rPr>
          <w:rFonts w:ascii="Times New Roman" w:cs="Times New Roman" w:eastAsia="Times New Roman" w:hAnsi="Times New Roman"/>
          <w:sz w:val="14"/>
          <w:szCs w:val="14"/>
          <w:color w:val="auto"/>
          <w:highlight w:val="white"/>
        </w:rPr>
        <w:t>Our space systems initiatives are supported by the design and manufacture of our spacecraft family along with a range of components, software and services for spacecraft, including reaction wheels, star trackers, radios, separation systems, solar solutions, command and control spacecraft software, high voltage space grade battery solutions, optical systems and additional products in development to serve a wide variety of sub-system functions. We entered this market with our acquisition of leading spacecraft components manufacturer Sinclair Interplanetary, and have since expanded our market participation with the acquisitions of Planetary Systems Corporation, SolAero Technologies Corp., Advanced Solutions, Incorporated and GEOST LLC. Each of these strategic acquisitions brought incremental vertically-integrated capabilities for our own spacecraft family and also enabled Rocket Lab to deliver high-volume manufacturing of critical spacecraft components and software solutions at scale prices to the broader spacecraft merchant market. Our spacecraft family, which are configurable for a range of low Earth orbit,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780"/>
          </w:cols>
          <w:pgMar w:left="300" w:top="125" w:right="8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616585</wp:posOffset>
            </wp:positionV>
            <wp:extent cx="7169785" cy="2822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785" cy="282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right="220"/>
        <w:spacing w:after="0" w:line="278" w:lineRule="auto"/>
        <w:rPr>
          <w:sz w:val="20"/>
          <w:szCs w:val="20"/>
          <w:color w:val="auto"/>
        </w:rPr>
      </w:pPr>
      <w:r>
        <w:rPr>
          <w:rFonts w:ascii="Times New Roman" w:cs="Times New Roman" w:eastAsia="Times New Roman" w:hAnsi="Times New Roman"/>
          <w:sz w:val="14"/>
          <w:szCs w:val="14"/>
          <w:color w:val="auto"/>
          <w:highlight w:val="white"/>
        </w:rPr>
        <w:t>medium Earth orbit, geosynchronous orbit and interplanetary missions enable us to offer an end-to-end mission solution encompassing launch, full spacecraft manufacturing, ground services, mission operations and optical systems to provide customers with streamlined access to orbit with Rocket Lab as a single mission partner.</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32" w:lineRule="exact"/>
        <w:rPr>
          <w:sz w:val="20"/>
          <w:szCs w:val="20"/>
          <w:color w:val="auto"/>
        </w:rPr>
      </w:pPr>
    </w:p>
    <w:p>
      <w:pPr>
        <w:ind w:left="520" w:firstLine="249"/>
        <w:spacing w:after="0" w:line="250" w:lineRule="auto"/>
        <w:rPr>
          <w:sz w:val="20"/>
          <w:szCs w:val="20"/>
          <w:color w:val="auto"/>
        </w:rPr>
      </w:pPr>
      <w:r>
        <w:rPr>
          <w:rFonts w:ascii="Times New Roman" w:cs="Times New Roman" w:eastAsia="Times New Roman" w:hAnsi="Times New Roman"/>
          <w:sz w:val="14"/>
          <w:szCs w:val="14"/>
          <w:color w:val="auto"/>
          <w:highlight w:val="white"/>
        </w:rPr>
        <w:t>Our predecessor entity, Rocket Lab USA, Inc., completed a merger with Vector Acquisition Corporation (“Vector”) on August 25, 2021 (the “Business Combination”), in conjunction with which Vector changed its name to Rocket Lab USA, Inc. (“Rocket Lab USA”). On May 23, 2025, Rocket Lab USA implemented a holding company reorganization in accordance with Section 251(g) of the General Corporation Law of the State of Delaware (the “Holding Company Reorganization”) pursuant to the Agreement and Plan of Merger, dated as of May 23, 2025 (the “Merger Agreement”), by and among Rocket Lab USA, Rocket Lab Corporation and Rocket Lab Merger Sub, Inc., a newly-formed Delaware corporation (“Merger Sub”). Pursuant to the Holding Company Reorganization, Rocket Lab USA merged with and into Merger Sub, a direct wholly owned subsidiary of Rocket Lab Corporation and an indirect wholly owned subsidiary of Rocket Lab USA, with Rocket Lab USA surviving as a direct wholly owned subsidiary of Rocket Lab Corporation. At the Effective Time (as defined in the Merger Agreement), (i) the separate existence of Merger Sub ceased, (ii) each share of Rocket Lab USA common stock, par value $0.0001 per share (“Rocket Lab USA Common Stock”), issued and outstanding immediately prior to the Effective Time, was automatically converted into one share of Rocket Lab Corporation common stock, par value $0.0001 per share, having the same designation, rights, powers, and preferences, and qualifications, limitations, and restrictions as a share of Rocket Lab USA Common Stock immediately prior to consummation of the Holding Company Reorganization and (iii) each share of Rocket Lab USA Series A Convertible Participating Preferred Stock, par value $0.0001 per share (“Rocket Lab USA Preferred Stock”), issued and outstanding immediately prior to the Effective Time was automatically converted into one share of Rocket Lab Corporation Series A Convertible Participating Preferred Stock, par value $0.0001 per share, having the same designation, rights, powers, and preferences, and qualifications, limitations, and restrictions as a share of Rocket Lab USA Preferred Stock immediately prior to consummation of the Holding Company Reorganization.</w:t>
      </w:r>
    </w:p>
    <w:p>
      <w:pPr>
        <w:spacing w:after="0" w:line="105" w:lineRule="exact"/>
        <w:rPr>
          <w:sz w:val="20"/>
          <w:szCs w:val="20"/>
          <w:color w:val="auto"/>
        </w:rPr>
      </w:pPr>
    </w:p>
    <w:p>
      <w:pPr>
        <w:ind w:left="520" w:right="120" w:firstLine="249"/>
        <w:spacing w:after="0" w:line="262" w:lineRule="auto"/>
        <w:rPr>
          <w:sz w:val="20"/>
          <w:szCs w:val="20"/>
          <w:color w:val="auto"/>
        </w:rPr>
      </w:pPr>
      <w:r>
        <w:rPr>
          <w:rFonts w:ascii="Times New Roman" w:cs="Times New Roman" w:eastAsia="Times New Roman" w:hAnsi="Times New Roman"/>
          <w:sz w:val="14"/>
          <w:szCs w:val="14"/>
          <w:color w:val="auto"/>
          <w:highlight w:val="white"/>
        </w:rPr>
        <w:t>Our corporate headquarters are located at 3881 McGowen Street, Long Beach, California 90808, and our telephone number is (714) 465-5737. Our website is located at www.rocketlabcorp.com. Information contained on or accessible through our website is not a part of or incorporated by reference into this prospectus supplement, and the inclusion of our website address in this prospectus supplement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760"/>
          </w:cols>
          <w:pgMar w:left="300" w:top="125" w:right="8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616585</wp:posOffset>
            </wp:positionV>
            <wp:extent cx="7169785" cy="4102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785" cy="410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32" w:lineRule="exact"/>
        <w:rPr>
          <w:sz w:val="20"/>
          <w:szCs w:val="20"/>
          <w:color w:val="auto"/>
        </w:rPr>
      </w:pPr>
    </w:p>
    <w:p>
      <w:pPr>
        <w:ind w:left="520" w:right="160" w:firstLine="249"/>
        <w:spacing w:after="0" w:line="262" w:lineRule="auto"/>
        <w:rPr>
          <w:sz w:val="20"/>
          <w:szCs w:val="20"/>
          <w:color w:val="auto"/>
        </w:rPr>
      </w:pPr>
      <w:r>
        <w:rPr>
          <w:rFonts w:ascii="Times New Roman" w:cs="Times New Roman" w:eastAsia="Times New Roman" w:hAnsi="Times New Roman"/>
          <w:sz w:val="14"/>
          <w:szCs w:val="14"/>
          <w:color w:val="auto"/>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of the accompanying prospectus titled “Description of Securities.”</w:t>
      </w:r>
    </w:p>
    <w:p>
      <w:pPr>
        <w:spacing w:after="0" w:line="127" w:lineRule="exact"/>
        <w:rPr>
          <w:sz w:val="20"/>
          <w:szCs w:val="20"/>
          <w:color w:val="auto"/>
        </w:rPr>
      </w:pPr>
    </w:p>
    <w:p>
      <w:pPr>
        <w:ind w:left="520"/>
        <w:spacing w:after="0"/>
        <w:tabs>
          <w:tab w:leader="none" w:pos="3080" w:val="left"/>
        </w:tabs>
        <w:rPr>
          <w:sz w:val="20"/>
          <w:szCs w:val="20"/>
          <w:color w:val="auto"/>
        </w:rPr>
      </w:pPr>
      <w:r>
        <w:rPr>
          <w:rFonts w:ascii="Times New Roman" w:cs="Times New Roman" w:eastAsia="Times New Roman" w:hAnsi="Times New Roman"/>
          <w:sz w:val="14"/>
          <w:szCs w:val="14"/>
          <w:color w:val="auto"/>
        </w:rPr>
        <w:t>Issuer</w:t>
      </w:r>
      <w:r>
        <w:rPr>
          <w:sz w:val="20"/>
          <w:szCs w:val="20"/>
          <w:color w:val="auto"/>
        </w:rPr>
        <w:tab/>
      </w:r>
      <w:r>
        <w:rPr>
          <w:rFonts w:ascii="Times New Roman" w:cs="Times New Roman" w:eastAsia="Times New Roman" w:hAnsi="Times New Roman"/>
          <w:sz w:val="14"/>
          <w:szCs w:val="14"/>
          <w:color w:val="auto"/>
        </w:rPr>
        <w:t>Rocket Lab Corporation</w:t>
      </w:r>
    </w:p>
    <w:p>
      <w:pPr>
        <w:spacing w:after="0" w:line="57" w:lineRule="exact"/>
        <w:rPr>
          <w:sz w:val="20"/>
          <w:szCs w:val="20"/>
          <w:color w:val="auto"/>
        </w:rPr>
      </w:pPr>
    </w:p>
    <w:p>
      <w:pPr>
        <w:ind w:left="520"/>
        <w:spacing w:after="0"/>
        <w:tabs>
          <w:tab w:leader="none" w:pos="3080" w:val="left"/>
        </w:tabs>
        <w:rPr>
          <w:sz w:val="20"/>
          <w:szCs w:val="20"/>
          <w:color w:val="auto"/>
        </w:rPr>
      </w:pPr>
      <w:r>
        <w:rPr>
          <w:rFonts w:ascii="Times New Roman" w:cs="Times New Roman" w:eastAsia="Times New Roman" w:hAnsi="Times New Roman"/>
          <w:sz w:val="14"/>
          <w:szCs w:val="14"/>
          <w:color w:val="auto"/>
        </w:rPr>
        <w:t>Common stock offered by us</w:t>
      </w:r>
      <w:r>
        <w:rPr>
          <w:sz w:val="20"/>
          <w:szCs w:val="20"/>
          <w:color w:val="auto"/>
        </w:rPr>
        <w:tab/>
      </w:r>
      <w:r>
        <w:rPr>
          <w:rFonts w:ascii="Times New Roman" w:cs="Times New Roman" w:eastAsia="Times New Roman" w:hAnsi="Times New Roman"/>
          <w:sz w:val="13"/>
          <w:szCs w:val="13"/>
          <w:color w:val="auto"/>
        </w:rPr>
        <w:t>Shares of our common stock having an aggregate offering price of up to $3,000,000,000.</w:t>
      </w:r>
    </w:p>
    <w:p>
      <w:pPr>
        <w:spacing w:after="0" w:line="57" w:lineRule="exact"/>
        <w:rPr>
          <w:sz w:val="20"/>
          <w:szCs w:val="20"/>
          <w:color w:val="auto"/>
        </w:rPr>
      </w:pPr>
    </w:p>
    <w:p>
      <w:pPr>
        <w:ind w:left="520"/>
        <w:spacing w:after="0"/>
        <w:tabs>
          <w:tab w:leader="none" w:pos="3080" w:val="left"/>
        </w:tabs>
        <w:rPr>
          <w:sz w:val="20"/>
          <w:szCs w:val="20"/>
          <w:color w:val="auto"/>
        </w:rPr>
      </w:pPr>
      <w:r>
        <w:rPr>
          <w:rFonts w:ascii="Times New Roman" w:cs="Times New Roman" w:eastAsia="Times New Roman" w:hAnsi="Times New Roman"/>
          <w:sz w:val="14"/>
          <w:szCs w:val="14"/>
          <w:color w:val="auto"/>
        </w:rPr>
        <w:t>Manner of Offering</w:t>
      </w:r>
      <w:r>
        <w:rPr>
          <w:sz w:val="20"/>
          <w:szCs w:val="20"/>
          <w:color w:val="auto"/>
        </w:rPr>
        <w:tab/>
      </w:r>
      <w:r>
        <w:rPr>
          <w:rFonts w:ascii="Times New Roman" w:cs="Times New Roman" w:eastAsia="Times New Roman" w:hAnsi="Times New Roman"/>
          <w:sz w:val="13"/>
          <w:szCs w:val="13"/>
          <w:color w:val="auto"/>
        </w:rPr>
        <w:t>“At the market offering” that may be made from time to time through our sales agents or as principal, and borrowed shares of common</w:t>
      </w:r>
    </w:p>
    <w:p>
      <w:pPr>
        <w:ind w:left="3100" w:right="540"/>
        <w:spacing w:after="0" w:line="223" w:lineRule="auto"/>
        <w:rPr>
          <w:sz w:val="20"/>
          <w:szCs w:val="20"/>
          <w:color w:val="auto"/>
        </w:rPr>
      </w:pPr>
      <w:r>
        <w:rPr>
          <w:rFonts w:ascii="Times New Roman" w:cs="Times New Roman" w:eastAsia="Times New Roman" w:hAnsi="Times New Roman"/>
          <w:sz w:val="14"/>
          <w:szCs w:val="14"/>
          <w:color w:val="auto"/>
        </w:rPr>
        <w:t>stock that may be offered and sold by the forward purchasers through the forward sellers. See “Plan of Distribution (Conflicts of Interest)”.</w:t>
      </w:r>
    </w:p>
    <w:p>
      <w:pPr>
        <w:spacing w:after="0" w:line="38" w:lineRule="exact"/>
        <w:rPr>
          <w:sz w:val="20"/>
          <w:szCs w:val="20"/>
          <w:color w:val="auto"/>
        </w:rPr>
      </w:pPr>
    </w:p>
    <w:p>
      <w:pPr>
        <w:ind w:left="520"/>
        <w:spacing w:after="0"/>
        <w:tabs>
          <w:tab w:leader="none" w:pos="3080" w:val="left"/>
        </w:tabs>
        <w:rPr>
          <w:sz w:val="20"/>
          <w:szCs w:val="20"/>
          <w:color w:val="auto"/>
        </w:rPr>
      </w:pPr>
      <w:r>
        <w:rPr>
          <w:rFonts w:ascii="Times New Roman" w:cs="Times New Roman" w:eastAsia="Times New Roman" w:hAnsi="Times New Roman"/>
          <w:sz w:val="14"/>
          <w:szCs w:val="14"/>
          <w:color w:val="auto"/>
        </w:rPr>
        <w:t>Use of Proceeds</w:t>
      </w:r>
      <w:r>
        <w:rPr>
          <w:sz w:val="20"/>
          <w:szCs w:val="20"/>
          <w:color w:val="auto"/>
        </w:rPr>
        <w:tab/>
      </w:r>
      <w:r>
        <w:rPr>
          <w:rFonts w:ascii="Times New Roman" w:cs="Times New Roman" w:eastAsia="Times New Roman" w:hAnsi="Times New Roman"/>
          <w:sz w:val="13"/>
          <w:szCs w:val="13"/>
          <w:color w:val="auto"/>
        </w:rPr>
        <w:t>We currently intend to use the net proceeds from this offering, after deducting commissions and offering expenses payable by us, to fund</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future growth, including potential future acquisitions, and for general corporate and working capital purposes.</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3"/>
          <w:szCs w:val="13"/>
          <w:color w:val="auto"/>
        </w:rPr>
        <w:t>We will not initially receive any proceeds from the sale by the forward sellers, as agents for the forward purchasers, of borrowed shares of</w:t>
      </w:r>
    </w:p>
    <w:p>
      <w:pPr>
        <w:spacing w:after="0" w:line="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3"/>
          <w:szCs w:val="13"/>
          <w:color w:val="auto"/>
        </w:rPr>
        <w:t>our common stock as a hedge of any forward transaction. We intend to use any cash proceeds that we receive upon physical settlement of</w:t>
      </w:r>
    </w:p>
    <w:p>
      <w:pPr>
        <w:spacing w:after="0" w:line="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any forward transaction, upon cash settlement of an initially priced forward transaction, if we elect cash settlement, or upon any</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prepayment of any collared forward transaction for the purposes provided in the immediately preceding paragraph. See “Use of</w:t>
      </w:r>
    </w:p>
    <w:p>
      <w:pPr>
        <w:spacing w:after="0" w:line="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Proceeds.”</w:t>
      </w:r>
    </w:p>
    <w:p>
      <w:pPr>
        <w:spacing w:after="0" w:line="63" w:lineRule="exact"/>
        <w:rPr>
          <w:sz w:val="20"/>
          <w:szCs w:val="20"/>
          <w:color w:val="auto"/>
        </w:rPr>
      </w:pPr>
    </w:p>
    <w:p>
      <w:pPr>
        <w:ind w:left="520"/>
        <w:spacing w:after="0"/>
        <w:tabs>
          <w:tab w:leader="none" w:pos="3080" w:val="left"/>
        </w:tabs>
        <w:rPr>
          <w:sz w:val="20"/>
          <w:szCs w:val="20"/>
          <w:color w:val="auto"/>
        </w:rPr>
      </w:pPr>
      <w:r>
        <w:rPr>
          <w:rFonts w:ascii="Times New Roman" w:cs="Times New Roman" w:eastAsia="Times New Roman" w:hAnsi="Times New Roman"/>
          <w:sz w:val="14"/>
          <w:szCs w:val="14"/>
          <w:color w:val="auto"/>
        </w:rPr>
        <w:t>Risk Factors</w:t>
      </w:r>
      <w:r>
        <w:rPr>
          <w:sz w:val="20"/>
          <w:szCs w:val="20"/>
          <w:color w:val="auto"/>
        </w:rPr>
        <w:tab/>
      </w:r>
      <w:r>
        <w:rPr>
          <w:rFonts w:ascii="Times New Roman" w:cs="Times New Roman" w:eastAsia="Times New Roman" w:hAnsi="Times New Roman"/>
          <w:sz w:val="13"/>
          <w:szCs w:val="13"/>
          <w:color w:val="auto"/>
        </w:rPr>
        <w:t>Investing in our common stock involves a high degree of risk. Please read the information contained in and incorporated by reference</w:t>
      </w:r>
    </w:p>
    <w:p>
      <w:pPr>
        <w:spacing w:after="0" w:line="31" w:lineRule="exact"/>
        <w:rPr>
          <w:sz w:val="20"/>
          <w:szCs w:val="20"/>
          <w:color w:val="auto"/>
        </w:rPr>
      </w:pPr>
    </w:p>
    <w:p>
      <w:pPr>
        <w:ind w:left="3100" w:right="60"/>
        <w:spacing w:after="0" w:line="255" w:lineRule="auto"/>
        <w:rPr>
          <w:sz w:val="20"/>
          <w:szCs w:val="20"/>
          <w:color w:val="auto"/>
        </w:rPr>
      </w:pPr>
      <w:r>
        <w:rPr>
          <w:rFonts w:ascii="Times New Roman" w:cs="Times New Roman" w:eastAsia="Times New Roman" w:hAnsi="Times New Roman"/>
          <w:sz w:val="14"/>
          <w:szCs w:val="14"/>
          <w:color w:val="auto"/>
        </w:rPr>
        <w:t>under the heading “Risk Factors” in this prospectus supplement and under similar headings in the other documents that are filed after the date hereof and incorporated by reference into this prospectus supplement and the accompanying prospectus.</w:t>
      </w:r>
    </w:p>
    <w:p>
      <w:pPr>
        <w:sectPr>
          <w:pgSz w:w="11900" w:h="16838" w:orient="portrait"/>
          <w:cols w:equalWidth="0" w:num="1">
            <w:col w:w="10740"/>
          </w:cols>
          <w:pgMar w:left="300" w:top="125" w:right="859" w:bottom="1440" w:gutter="0" w:footer="0" w:header="0"/>
        </w:sectPr>
      </w:pP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Clear Market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3"/>
          <w:szCs w:val="13"/>
          <w:color w:val="auto"/>
        </w:rPr>
        <w:t>Because the sales agents or their affiliates acting as forward purchasers and/or forward sellers as defined herein, may receive more than 5% of the net proceeds of the offering of the hedging shares, each of these sales agents is deemed to have a “conflict of interest” under Rule 5121 (Public Offerings of Securities with Conflicts of Interest) of the Financial Industry Regulatory Authority, Inc. (“FINRA”).</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Accordingly, this offering is being made in compliance with the requirements of FINRA Rule 5121. Pursuant to that rule, the appointment of a “qualified independent underwriter” is not required in connection with this offering as a “bona fide public market,” as defined in FINRA Rule 5121, exists for our common stock. See “Plan of Distribution (Conflicts of Interest)—Conflicts of Interest” in this prospectus supplement.</w:t>
      </w:r>
    </w:p>
    <w:p>
      <w:pPr>
        <w:spacing w:after="0" w:line="62" w:lineRule="exact"/>
        <w:rPr>
          <w:sz w:val="20"/>
          <w:szCs w:val="20"/>
          <w:color w:val="auto"/>
        </w:rPr>
      </w:pPr>
    </w:p>
    <w:p>
      <w:pPr>
        <w:jc w:val="both"/>
        <w:ind w:right="240"/>
        <w:spacing w:after="0" w:line="318" w:lineRule="auto"/>
        <w:rPr>
          <w:sz w:val="20"/>
          <w:szCs w:val="20"/>
          <w:color w:val="auto"/>
        </w:rPr>
      </w:pPr>
      <w:r>
        <w:rPr>
          <w:rFonts w:ascii="Times New Roman" w:cs="Times New Roman" w:eastAsia="Times New Roman" w:hAnsi="Times New Roman"/>
          <w:sz w:val="13"/>
          <w:szCs w:val="13"/>
          <w:color w:val="auto"/>
        </w:rPr>
        <w:t>If we enter into any collared forward transaction, the collared forward transaction may limit our ability to conduct certain transactions related to our common stock, as described in more detail in “Forward Transactions—Collared Forward Transactions—Clear Market.”</w:t>
      </w:r>
    </w:p>
    <w:p>
      <w:pPr>
        <w:spacing w:after="0" w:line="200" w:lineRule="exact"/>
        <w:rPr>
          <w:sz w:val="20"/>
          <w:szCs w:val="20"/>
          <w:color w:val="auto"/>
        </w:rPr>
      </w:pPr>
    </w:p>
    <w:p>
      <w:pPr>
        <w:sectPr>
          <w:pgSz w:w="11900" w:h="16838" w:orient="portrait"/>
          <w:cols w:equalWidth="0" w:num="2">
            <w:col w:w="2380" w:space="720"/>
            <w:col w:w="7640"/>
          </w:cols>
          <w:pgMar w:left="300" w:top="125"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740"/>
          </w:cols>
          <w:pgMar w:left="300" w:top="125" w:right="8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707"/>
        </w:trPr>
        <w:tc>
          <w:tcPr>
            <w:tcW w:w="2440" w:type="dxa"/>
            <w:vAlign w:val="bottom"/>
            <w:tcBorders>
              <w:top w:val="single" w:sz="8" w:color="auto"/>
              <w:lef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Accounting Treatment</w:t>
            </w:r>
          </w:p>
        </w:tc>
        <w:tc>
          <w:tcPr>
            <w:tcW w:w="884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Before the issuance of shares of our common stock, if any, upon settlement of any forward transaction, we expect that the shares issuable</w:t>
            </w:r>
          </w:p>
        </w:tc>
      </w:tr>
      <w:tr>
        <w:trPr>
          <w:trHeight w:val="166"/>
        </w:trPr>
        <w:tc>
          <w:tcPr>
            <w:tcW w:w="2440" w:type="dxa"/>
            <w:vAlign w:val="bottom"/>
            <w:tcBorders>
              <w:left w:val="single" w:sz="8" w:color="auto"/>
            </w:tcBorders>
          </w:tcPr>
          <w:p>
            <w:pPr>
              <w:spacing w:after="0"/>
              <w:rPr>
                <w:sz w:val="14"/>
                <w:szCs w:val="14"/>
                <w:color w:val="auto"/>
              </w:rPr>
            </w:pPr>
          </w:p>
        </w:tc>
        <w:tc>
          <w:tcPr>
            <w:tcW w:w="88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upon settlement of the forward transaction will be reflected in our diluted earnings per share calculation using the treasury stock method.</w:t>
            </w:r>
          </w:p>
        </w:tc>
      </w:tr>
      <w:tr>
        <w:trPr>
          <w:trHeight w:val="166"/>
        </w:trPr>
        <w:tc>
          <w:tcPr>
            <w:tcW w:w="2440" w:type="dxa"/>
            <w:vAlign w:val="bottom"/>
            <w:tcBorders>
              <w:left w:val="single" w:sz="8" w:color="auto"/>
            </w:tcBorders>
          </w:tcPr>
          <w:p>
            <w:pPr>
              <w:spacing w:after="0"/>
              <w:rPr>
                <w:sz w:val="14"/>
                <w:szCs w:val="14"/>
                <w:color w:val="auto"/>
              </w:rPr>
            </w:pPr>
          </w:p>
        </w:tc>
        <w:tc>
          <w:tcPr>
            <w:tcW w:w="88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Under this method, the number of shares of our common stock used in calculating diluted earnings per share is deemed to be increased by</w:t>
            </w:r>
          </w:p>
        </w:tc>
      </w:tr>
      <w:tr>
        <w:trPr>
          <w:trHeight w:val="166"/>
        </w:trPr>
        <w:tc>
          <w:tcPr>
            <w:tcW w:w="2440" w:type="dxa"/>
            <w:vAlign w:val="bottom"/>
            <w:tcBorders>
              <w:left w:val="single" w:sz="8" w:color="auto"/>
            </w:tcBorders>
          </w:tcPr>
          <w:p>
            <w:pPr>
              <w:spacing w:after="0"/>
              <w:rPr>
                <w:sz w:val="14"/>
                <w:szCs w:val="14"/>
                <w:color w:val="auto"/>
              </w:rPr>
            </w:pPr>
          </w:p>
        </w:tc>
        <w:tc>
          <w:tcPr>
            <w:tcW w:w="88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the excess, if any, of the number of shares of our common stock that would be issued upon full physical settlement of the forward</w:t>
            </w:r>
          </w:p>
        </w:tc>
      </w:tr>
      <w:tr>
        <w:trPr>
          <w:trHeight w:val="166"/>
        </w:trPr>
        <w:tc>
          <w:tcPr>
            <w:tcW w:w="2440" w:type="dxa"/>
            <w:vAlign w:val="bottom"/>
            <w:tcBorders>
              <w:left w:val="single" w:sz="8" w:color="auto"/>
            </w:tcBorders>
          </w:tcPr>
          <w:p>
            <w:pPr>
              <w:spacing w:after="0"/>
              <w:rPr>
                <w:sz w:val="14"/>
                <w:szCs w:val="14"/>
                <w:color w:val="auto"/>
              </w:rPr>
            </w:pPr>
          </w:p>
        </w:tc>
        <w:tc>
          <w:tcPr>
            <w:tcW w:w="88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transaction over the number of shares of our common stock that could be purchased by us in the market (based on the average market</w:t>
            </w:r>
          </w:p>
        </w:tc>
      </w:tr>
      <w:tr>
        <w:trPr>
          <w:trHeight w:val="166"/>
        </w:trPr>
        <w:tc>
          <w:tcPr>
            <w:tcW w:w="2440" w:type="dxa"/>
            <w:vAlign w:val="bottom"/>
            <w:tcBorders>
              <w:left w:val="single" w:sz="8" w:color="auto"/>
            </w:tcBorders>
          </w:tcPr>
          <w:p>
            <w:pPr>
              <w:spacing w:after="0"/>
              <w:rPr>
                <w:sz w:val="14"/>
                <w:szCs w:val="14"/>
                <w:color w:val="auto"/>
              </w:rPr>
            </w:pPr>
          </w:p>
        </w:tc>
        <w:tc>
          <w:tcPr>
            <w:tcW w:w="88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price of our common stock during the applicable reporting period) using the proceeds receivable upon full physical settlement (based on</w:t>
            </w:r>
          </w:p>
        </w:tc>
      </w:tr>
      <w:tr>
        <w:trPr>
          <w:trHeight w:val="166"/>
        </w:trPr>
        <w:tc>
          <w:tcPr>
            <w:tcW w:w="2440" w:type="dxa"/>
            <w:vAlign w:val="bottom"/>
            <w:tcBorders>
              <w:left w:val="single" w:sz="8" w:color="auto"/>
            </w:tcBorders>
          </w:tcPr>
          <w:p>
            <w:pPr>
              <w:spacing w:after="0"/>
              <w:rPr>
                <w:sz w:val="14"/>
                <w:szCs w:val="14"/>
                <w:color w:val="auto"/>
              </w:rPr>
            </w:pPr>
          </w:p>
        </w:tc>
        <w:tc>
          <w:tcPr>
            <w:tcW w:w="88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the lowest forward sale price during the reporting period). Consequently, we anticipate there will be no dilutive effect on our earnings per</w:t>
            </w:r>
          </w:p>
        </w:tc>
      </w:tr>
      <w:tr>
        <w:trPr>
          <w:trHeight w:val="166"/>
        </w:trPr>
        <w:tc>
          <w:tcPr>
            <w:tcW w:w="2440" w:type="dxa"/>
            <w:vAlign w:val="bottom"/>
            <w:tcBorders>
              <w:left w:val="single" w:sz="8" w:color="auto"/>
            </w:tcBorders>
          </w:tcPr>
          <w:p>
            <w:pPr>
              <w:spacing w:after="0"/>
              <w:rPr>
                <w:sz w:val="14"/>
                <w:szCs w:val="14"/>
                <w:color w:val="auto"/>
              </w:rPr>
            </w:pPr>
          </w:p>
        </w:tc>
        <w:tc>
          <w:tcPr>
            <w:tcW w:w="88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share except during periods when the average market price of shares of our common stock is above the applicable forward sale price.</w:t>
            </w:r>
          </w:p>
        </w:tc>
      </w:tr>
      <w:tr>
        <w:trPr>
          <w:trHeight w:val="166"/>
        </w:trPr>
        <w:tc>
          <w:tcPr>
            <w:tcW w:w="2440" w:type="dxa"/>
            <w:vAlign w:val="bottom"/>
            <w:tcBorders>
              <w:left w:val="single" w:sz="8" w:color="auto"/>
            </w:tcBorders>
          </w:tcPr>
          <w:p>
            <w:pPr>
              <w:spacing w:after="0"/>
              <w:rPr>
                <w:sz w:val="14"/>
                <w:szCs w:val="14"/>
                <w:color w:val="auto"/>
              </w:rPr>
            </w:pPr>
          </w:p>
        </w:tc>
        <w:tc>
          <w:tcPr>
            <w:tcW w:w="88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However, delivery of our shares to the relevant forward purchaser on any physical settlement or net share settlement of a forward</w:t>
            </w:r>
          </w:p>
        </w:tc>
      </w:tr>
      <w:tr>
        <w:trPr>
          <w:trHeight w:val="181"/>
        </w:trPr>
        <w:tc>
          <w:tcPr>
            <w:tcW w:w="2440" w:type="dxa"/>
            <w:vAlign w:val="bottom"/>
            <w:tcBorders>
              <w:left w:val="single" w:sz="8" w:color="auto"/>
            </w:tcBorders>
          </w:tcPr>
          <w:p>
            <w:pPr>
              <w:spacing w:after="0"/>
              <w:rPr>
                <w:sz w:val="15"/>
                <w:szCs w:val="15"/>
                <w:color w:val="auto"/>
              </w:rPr>
            </w:pPr>
          </w:p>
        </w:tc>
        <w:tc>
          <w:tcPr>
            <w:tcW w:w="88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transaction would result in dilution to our earnings per share.</w:t>
            </w:r>
          </w:p>
        </w:tc>
      </w:tr>
      <w:tr>
        <w:trPr>
          <w:trHeight w:val="249"/>
        </w:trPr>
        <w:tc>
          <w:tcPr>
            <w:tcW w:w="2440" w:type="dxa"/>
            <w:vAlign w:val="bottom"/>
            <w:tcBorders>
              <w:left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Nasdaq Symbol</w:t>
            </w:r>
          </w:p>
        </w:tc>
        <w:tc>
          <w:tcPr>
            <w:tcW w:w="88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“RKLB.”</w:t>
            </w:r>
          </w:p>
        </w:tc>
      </w:tr>
      <w:tr>
        <w:trPr>
          <w:trHeight w:val="462"/>
        </w:trPr>
        <w:tc>
          <w:tcPr>
            <w:tcW w:w="2440" w:type="dxa"/>
            <w:vAlign w:val="bottom"/>
            <w:tcBorders>
              <w:left w:val="single" w:sz="8" w:color="auto"/>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0" w:lineRule="exact"/>
        <w:rPr>
          <w:sz w:val="20"/>
          <w:szCs w:val="20"/>
          <w:color w:val="auto"/>
        </w:rPr>
      </w:pPr>
    </w:p>
    <w:p>
      <w:pPr>
        <w:ind w:firstLine="249"/>
        <w:spacing w:after="0" w:line="258" w:lineRule="auto"/>
        <w:rPr>
          <w:sz w:val="20"/>
          <w:szCs w:val="20"/>
          <w:color w:val="auto"/>
        </w:rPr>
      </w:pPr>
      <w:r>
        <w:rPr>
          <w:rFonts w:ascii="Times New Roman" w:cs="Times New Roman" w:eastAsia="Times New Roman" w:hAnsi="Times New Roman"/>
          <w:sz w:val="14"/>
          <w:szCs w:val="14"/>
          <w:i w:val="1"/>
          <w:iCs w:val="1"/>
          <w:color w:val="auto"/>
        </w:rPr>
        <w:t>Before you invest in shares of our common stock, in addition to the other information in this prospectus supplement and the accompanying prospectus, you should carefully read and consider the risk factors described under the heading “Risk Factors” contained in our most recent Annual Report on Form 10-K and any subsequent Quarterly Reports on Form 10-Q, which are incorporated by reference into this prospectus supplement and the accompanying prospectus, as the same may be updated from time to time by our future filings under the Exchange Act. Each of the risks described in these documents could materially and adversely affect our business, financial condition, liquidity, results of operations and prospects, and could result in a partial or complete loss of your investment.</w:t>
      </w:r>
    </w:p>
    <w:p>
      <w:pPr>
        <w:spacing w:after="0" w:line="97" w:lineRule="exact"/>
        <w:rPr>
          <w:sz w:val="20"/>
          <w:szCs w:val="20"/>
          <w:color w:val="auto"/>
        </w:rPr>
      </w:pPr>
    </w:p>
    <w:p>
      <w:pPr>
        <w:ind w:right="80" w:firstLine="249"/>
        <w:spacing w:after="0" w:line="281" w:lineRule="auto"/>
        <w:rPr>
          <w:sz w:val="20"/>
          <w:szCs w:val="20"/>
          <w:color w:val="auto"/>
        </w:rPr>
      </w:pPr>
      <w:r>
        <w:rPr>
          <w:rFonts w:ascii="Times New Roman" w:cs="Times New Roman" w:eastAsia="Times New Roman" w:hAnsi="Times New Roman"/>
          <w:sz w:val="14"/>
          <w:szCs w:val="14"/>
          <w:i w:val="1"/>
          <w:iCs w:val="1"/>
          <w:color w:val="auto"/>
        </w:rPr>
        <w:t>In connection with the forward-looking statements that appear in this prospectus supplement and the accompanying prospectus, you should also carefully review the cautionary statement referred to under “Forward-Looking Statements” in this prospectus supplement.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have broad discretion in the use of the net proceeds from this offering and the cash proceeds we receive from the forward transactions and may not use them effectively.</w:t>
      </w:r>
    </w:p>
    <w:p>
      <w:pPr>
        <w:spacing w:after="0" w:line="132" w:lineRule="exact"/>
        <w:rPr>
          <w:sz w:val="20"/>
          <w:szCs w:val="20"/>
          <w:color w:val="auto"/>
        </w:rPr>
      </w:pPr>
    </w:p>
    <w:p>
      <w:pPr>
        <w:ind w:right="80" w:firstLine="249"/>
        <w:spacing w:after="0" w:line="251" w:lineRule="auto"/>
        <w:rPr>
          <w:sz w:val="20"/>
          <w:szCs w:val="20"/>
          <w:color w:val="auto"/>
        </w:rPr>
      </w:pPr>
      <w:r>
        <w:rPr>
          <w:rFonts w:ascii="Times New Roman" w:cs="Times New Roman" w:eastAsia="Times New Roman" w:hAnsi="Times New Roman"/>
          <w:sz w:val="14"/>
          <w:szCs w:val="14"/>
          <w:color w:val="auto"/>
        </w:rPr>
        <w:t>We currently intend to use the net proceeds of this offering and any cash proceeds that we receive from the forward transactions to fund future growth, including potential future acquisitions, and for general corporate and working capital purposes, as further described in the section of this prospectus supplement titled “Use of Proceeds.” We will have broad discretion in the application of such proceeds and investors will be relying on the judgment of our management regarding the application of such proceeds, including with respect to potential future acquisitions. From time to time, we may opportunistically evaluate targets which we may acquire with financing sources that include debt, equity or a combination thereof. We cannot assure you that we will be able to identify suitable acquisition candidates, negotiate favorable terms, or successfully consummate any such acquisitions. Even if we do complete acquisitions, we may encounter significant difficulties in integrating the acquired businesses, technologies, personnel, or operations into our existing business, which could disrupt our ongoing operations, divert management's attention, and consume substantial financial and other resources. The failure by our management to apply these funds effectively could harm our business, financial condition and results of operations. Additionally, any future acquisitions for which we may use these funds may not prove to be successful or effective in achieving management’s objectives. Pending their use, we may invest such proceeds in short-term, interest-bearing instruments. These investments may not yield a favorable return, or any return, to us or our stockholders.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This offering and future issuances of our common stock could be dilutive to our earnings per share.</w:t>
      </w:r>
    </w:p>
    <w:p>
      <w:pPr>
        <w:spacing w:after="0" w:line="132" w:lineRule="exact"/>
        <w:rPr>
          <w:sz w:val="20"/>
          <w:szCs w:val="20"/>
          <w:color w:val="auto"/>
        </w:rPr>
      </w:pPr>
    </w:p>
    <w:p>
      <w:pPr>
        <w:ind w:firstLine="249"/>
        <w:spacing w:after="0" w:line="251" w:lineRule="auto"/>
        <w:rPr>
          <w:sz w:val="20"/>
          <w:szCs w:val="20"/>
          <w:color w:val="auto"/>
        </w:rPr>
      </w:pPr>
      <w:r>
        <w:rPr>
          <w:rFonts w:ascii="Times New Roman" w:cs="Times New Roman" w:eastAsia="Times New Roman" w:hAnsi="Times New Roman"/>
          <w:sz w:val="14"/>
          <w:szCs w:val="14"/>
          <w:color w:val="auto"/>
        </w:rPr>
        <w:t>The issuance and sale by us through the sales agents acting as sales agents or directly to the sales agents acting as principals of any shares of our common stock in this offering, the receipt of the net proceeds therefrom and the use of those net proceeds could have a dilutive effect on our earnings per share. Before the issuance of shares of our common stock, if any, upon settlement of any forward transaction, we expect that the shares issuable upon settlement of the forward transaction will be reflected in our diluted earnings per share calculation using the treasury stock method. Under this method, the number of shares of our common stock used in calculating diluted earnings per share is deemed to be increased by the excess, if any, of the number of shares of our common stock that would be issued upon full physical settlement of the forward transaction over the number of shares of our common stock that could be purchased by us in the market (based on the average market price of our common stock during the applicable reporting period) using the proceeds receivable upon full physical settlement (based on the lowest forward sale price during the reporting period). Consequently, we anticipate there will be no dilutive effect on our earnings per share except during periods when the average market price of shares of our common stock is above the applicable forward sale price. However, delivery of our shares to the relevant forward purchaser on any physical settlement or net share settlement of a forward transaction would result in dilution to our earnings per share. Additional issuances of our common stock could also be dilutive to our earnings per share. The issuance or sale by us of our common stock, including the sale by us or by the forward sellers of shares in this offering, could also adversely affect the trading price of our common stock and our ability to raise capital through future offerings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equity or equity-related securities. In addition, if we are unable to apply any net proceeds we may receive from this offering and any cash proceeds that we receive from the forward transactions or from other issuances or sales of our common stock to make investments that generate sufficient revenues to offset the dilutive impact of the issuance by us of shares of our common stock in this offering or pursuant to the forward transactions or from any other such issuances of our common stock, there will be further dilution of our earnings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so any returns will be limited to the value of our common stock.</w:t>
      </w:r>
    </w:p>
    <w:p>
      <w:pPr>
        <w:spacing w:after="0" w:line="132" w:lineRule="exact"/>
        <w:rPr>
          <w:sz w:val="20"/>
          <w:szCs w:val="20"/>
          <w:color w:val="auto"/>
        </w:rPr>
      </w:pPr>
    </w:p>
    <w:p>
      <w:pPr>
        <w:ind w:right="140" w:firstLine="249"/>
        <w:spacing w:after="0" w:line="255" w:lineRule="auto"/>
        <w:rPr>
          <w:sz w:val="20"/>
          <w:szCs w:val="20"/>
          <w:color w:val="auto"/>
        </w:rPr>
      </w:pPr>
      <w:r>
        <w:rPr>
          <w:rFonts w:ascii="Times New Roman" w:cs="Times New Roman" w:eastAsia="Times New Roman" w:hAnsi="Times New Roman"/>
          <w:sz w:val="14"/>
          <w:szCs w:val="14"/>
          <w:color w:val="auto"/>
        </w:rPr>
        <w:t>We currently anticipate that we will retain future earnings, if any, for use in our business operations. As a result, we do not anticipate declaring or paying any cash dividends or other distributions in the foreseeable future. Further, our ability to declare dividends may be limited by the terms of financing or other agreements entered into by us or our subsidiaries from time to time. For example, in connection with the Direct Funding Agreement with the United States Department of Commerce, we are currently restricted from buying back outstanding shares of our capital stock without obtaining prior approval and from paying dividends. If we do not pay dividends, our common stock may be less valuable because stockholders must rely on sales of their common stock after price appreciation, which may never occur, to realize any gains on their investment.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actual number of shares of common stock we will issue under the equity distribution agreement and under any forward transaction, at any one time or in total, is uncertain.</w:t>
      </w:r>
    </w:p>
    <w:p>
      <w:pPr>
        <w:spacing w:after="0" w:line="132" w:lineRule="exact"/>
        <w:rPr>
          <w:sz w:val="20"/>
          <w:szCs w:val="20"/>
          <w:color w:val="auto"/>
        </w:rPr>
      </w:pPr>
    </w:p>
    <w:p>
      <w:pPr>
        <w:jc w:val="both"/>
        <w:ind w:firstLine="249"/>
        <w:spacing w:after="0" w:line="274" w:lineRule="auto"/>
        <w:rPr>
          <w:sz w:val="20"/>
          <w:szCs w:val="20"/>
          <w:color w:val="auto"/>
        </w:rPr>
      </w:pPr>
      <w:r>
        <w:rPr>
          <w:rFonts w:ascii="Times New Roman" w:cs="Times New Roman" w:eastAsia="Times New Roman" w:hAnsi="Times New Roman"/>
          <w:sz w:val="13"/>
          <w:szCs w:val="13"/>
          <w:color w:val="auto"/>
        </w:rPr>
        <w:t>Subject to certain limitations in the equity distribution agreement, the forward sale agreements (if applicable) and compliance with applicable law, we have the discretion to deliver a placement notice to the sales agents, including when acting in their capacities as forward sellers, at any time throughout the term of the equity distribution agreement. The per share price of the shares of common stock that are sold by the sales agents after delivering a placement notice will fluctuate based on the market price of our common stock during the sales period and trading parameters we set with the sales agents.</w:t>
      </w:r>
    </w:p>
    <w:p>
      <w:pPr>
        <w:spacing w:after="0" w:line="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4"/>
          <w:szCs w:val="14"/>
          <w:color w:val="auto"/>
        </w:rPr>
        <w:t>Because the price per share of each share of common stock sold will fluctuate based on the market price of our common stock during the sales or initial hedging period, it is not possible at this stage to predict the number of shares of common stock that will be ultimately sold or issued.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common stock offered hereby may be sold in “at the market offerings,” and investors who buy shares at different times will likely pay different prices.</w:t>
      </w:r>
    </w:p>
    <w:p>
      <w:pPr>
        <w:spacing w:after="0" w:line="132" w:lineRule="exact"/>
        <w:rPr>
          <w:sz w:val="20"/>
          <w:szCs w:val="20"/>
          <w:color w:val="auto"/>
        </w:rPr>
      </w:pPr>
    </w:p>
    <w:p>
      <w:pPr>
        <w:ind w:right="180" w:firstLine="249"/>
        <w:spacing w:after="0" w:line="262"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sale of our common stock in this offering and any future sales of our common stock may depress our stock price and our ability to raise funds in new stock offerings.</w:t>
      </w:r>
    </w:p>
    <w:p>
      <w:pPr>
        <w:spacing w:after="0" w:line="132" w:lineRule="exact"/>
        <w:rPr>
          <w:sz w:val="20"/>
          <w:szCs w:val="20"/>
          <w:color w:val="auto"/>
        </w:rPr>
      </w:pPr>
    </w:p>
    <w:p>
      <w:pPr>
        <w:jc w:val="both"/>
        <w:ind w:right="60" w:firstLine="249"/>
        <w:spacing w:after="0" w:line="278" w:lineRule="auto"/>
        <w:rPr>
          <w:sz w:val="20"/>
          <w:szCs w:val="20"/>
          <w:color w:val="auto"/>
        </w:rPr>
      </w:pPr>
      <w:r>
        <w:rPr>
          <w:rFonts w:ascii="Times New Roman" w:cs="Times New Roman" w:eastAsia="Times New Roman" w:hAnsi="Times New Roman"/>
          <w:sz w:val="14"/>
          <w:szCs w:val="14"/>
          <w:color w:val="auto"/>
        </w:rPr>
        <w:t>Sales of our common stock in this offering and the public market following this offering could lower the market price of our common stock. Sales may also make it more difficult for us to sell equity securities or equity-related securities in the future at a time and price that our management deems acceptable, or at all.</w:t>
      </w:r>
    </w:p>
    <w:p>
      <w:pPr>
        <w:spacing w:after="0" w:line="8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Any forward transactions or other transactions effected by the forward purchasers, the forward sellers and/or their affiliates to establish, modify or, in some cases, unwind the forward purchasers’ hedge positions in connection with the forward transactions may have a positive, negative or neutral impact on the market price of shares of our common stock.</w:t>
      </w:r>
    </w:p>
    <w:p>
      <w:pPr>
        <w:spacing w:after="0" w:line="82" w:lineRule="exact"/>
        <w:rPr>
          <w:sz w:val="20"/>
          <w:szCs w:val="20"/>
          <w:color w:val="auto"/>
        </w:rPr>
      </w:pPr>
    </w:p>
    <w:p>
      <w:pPr>
        <w:jc w:val="both"/>
        <w:ind w:right="80" w:firstLine="249"/>
        <w:spacing w:after="0" w:line="262" w:lineRule="auto"/>
        <w:rPr>
          <w:sz w:val="20"/>
          <w:szCs w:val="20"/>
          <w:color w:val="auto"/>
        </w:rPr>
      </w:pPr>
      <w:r>
        <w:rPr>
          <w:rFonts w:ascii="Times New Roman" w:cs="Times New Roman" w:eastAsia="Times New Roman" w:hAnsi="Times New Roman"/>
          <w:sz w:val="14"/>
          <w:szCs w:val="14"/>
          <w:color w:val="auto"/>
        </w:rPr>
        <w:t>If we enter into any forward transactions during the term of the equity distribution agreement, we have been advised that the forward purchasers intend to establish their hedge positions in respect of the forward transactions by borrowing from third-party stock lenders and selling the maximum number of shares of our common stock underlying the particular forward transaction. The establishment of these hedge positions could have the effect of decreasing, or limiting an increase in, the market price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firstLine="249"/>
        <w:spacing w:after="0" w:line="255" w:lineRule="auto"/>
        <w:rPr>
          <w:sz w:val="20"/>
          <w:szCs w:val="20"/>
          <w:color w:val="auto"/>
        </w:rPr>
      </w:pPr>
      <w:r>
        <w:rPr>
          <w:rFonts w:ascii="Times New Roman" w:cs="Times New Roman" w:eastAsia="Times New Roman" w:hAnsi="Times New Roman"/>
          <w:sz w:val="14"/>
          <w:szCs w:val="14"/>
          <w:color w:val="auto"/>
        </w:rPr>
        <w:t>We have also been advised by each collared forward purchaser that it expects that, on the same days during the initial hedging period for any collared forward transaction when the relevant collared forward seller (or its affiliates) is selling a number of hedging shares necessary to introduce into the public market the maximum number of shares underlying the particular collared forward transaction, the relevant collared forward purchaser or its affiliates or agents will be contemporaneously purchasing a substantial portion of such number of shares in the open market for its own account, as each collared forward purchaser expects its initial hedge position in respect of the collared forward transaction to be less than the maximum number of shares underlying the collared forward transaction. Such purchases in the open market may have the effect of increasing, or limiting a decrease in, the market price of shares of our common stock.</w:t>
      </w:r>
    </w:p>
    <w:p>
      <w:pPr>
        <w:spacing w:after="0" w:line="100" w:lineRule="exact"/>
        <w:rPr>
          <w:sz w:val="20"/>
          <w:szCs w:val="20"/>
          <w:color w:val="auto"/>
        </w:rPr>
      </w:pPr>
    </w:p>
    <w:p>
      <w:pPr>
        <w:ind w:right="60" w:firstLine="249"/>
        <w:spacing w:after="0" w:line="257" w:lineRule="auto"/>
        <w:rPr>
          <w:sz w:val="20"/>
          <w:szCs w:val="20"/>
          <w:color w:val="auto"/>
        </w:rPr>
      </w:pPr>
      <w:r>
        <w:rPr>
          <w:rFonts w:ascii="Times New Roman" w:cs="Times New Roman" w:eastAsia="Times New Roman" w:hAnsi="Times New Roman"/>
          <w:sz w:val="14"/>
          <w:szCs w:val="14"/>
          <w:color w:val="auto"/>
        </w:rPr>
        <w:t>The floor price and the cap price of each collared forward transaction will be determined upon completion of the initial hedging period for such collared forward transaction based on the prices obtained in connection with sales of the hedging shares by the relevant collared forward seller during the initial hedging period, and as such will be subject to market risk during that time. The floor price is intended to mitigate the downside risk of any potential decline in the settlement reference price below the floor price during the relevant valuation date, but the cap price would also limit the potential upside benefit to the extent the settlement reference price were to exceed the cap price during the valuation date. See “Forward Transactions.”</w:t>
      </w:r>
    </w:p>
    <w:p>
      <w:pPr>
        <w:spacing w:after="0" w:line="100" w:lineRule="exact"/>
        <w:rPr>
          <w:sz w:val="20"/>
          <w:szCs w:val="20"/>
          <w:color w:val="auto"/>
        </w:rPr>
      </w:pPr>
    </w:p>
    <w:p>
      <w:pPr>
        <w:ind w:right="100" w:firstLine="249"/>
        <w:spacing w:after="0" w:line="279" w:lineRule="auto"/>
        <w:rPr>
          <w:sz w:val="20"/>
          <w:szCs w:val="20"/>
          <w:color w:val="auto"/>
        </w:rPr>
      </w:pPr>
      <w:r>
        <w:rPr>
          <w:rFonts w:ascii="Times New Roman" w:cs="Times New Roman" w:eastAsia="Times New Roman" w:hAnsi="Times New Roman"/>
          <w:sz w:val="13"/>
          <w:szCs w:val="13"/>
          <w:color w:val="auto"/>
        </w:rPr>
        <w:t>In addition, we have been advised by each collared forward purchaser that it expects to dynamically modify its hedge positions for its own account by it (or its affiliates and/or agents) buying or selling shares of our common stock or engaging in derivatives or other transactions with respect to shares of our common stock from time to time during the term of a particular collared forward transaction, including on each valuation date for such collared forward transaction. The purchases and sales of shares of our common stock or other hedging transactions by the relevant collared forward purchaser to dynamically modify its hedge positions from time to time during the term of a collared forward transaction may variously have a positive, negative or neutral impact on the market price of shares of our common stock, depending on market conditions at such times, and may occur at a time when we may be engaged in a distribution of shares of our common stock to the public.</w:t>
      </w:r>
    </w:p>
    <w:p>
      <w:pPr>
        <w:spacing w:after="0" w:line="87" w:lineRule="exact"/>
        <w:rPr>
          <w:sz w:val="20"/>
          <w:szCs w:val="20"/>
          <w:color w:val="auto"/>
        </w:rPr>
      </w:pPr>
    </w:p>
    <w:p>
      <w:pPr>
        <w:ind w:firstLine="249"/>
        <w:spacing w:after="0" w:line="271" w:lineRule="auto"/>
        <w:rPr>
          <w:sz w:val="20"/>
          <w:szCs w:val="20"/>
          <w:color w:val="auto"/>
        </w:rPr>
      </w:pPr>
      <w:r>
        <w:rPr>
          <w:rFonts w:ascii="Times New Roman" w:cs="Times New Roman" w:eastAsia="Times New Roman" w:hAnsi="Times New Roman"/>
          <w:sz w:val="13"/>
          <w:szCs w:val="13"/>
          <w:color w:val="auto"/>
        </w:rPr>
        <w:t>On each component prepayment date of a collared forward transaction, the relevant collared forward purchaser will, upon our request, prepay to us an amount equal to (A) the present value of the product of the (x) number of shares underlying such component, and (y) floor price for such component minus (B) the product of the (x) number of shares underlying such component, (y) collared forward selling commission and (z) and hedge reference price, and we will issue and pledge the maximum number of shares underlying such component. If a component prepayment date with respect to such component previously occurred, the relevant collared forward purchaser will pay to us an amount of cash equal to the product of (x) the number of shares underlying such component and (y) the excess of the collared forward sale price for such component over the floor price for such component and if a component prepayment date with respect to such component has not occurred, the relevant collared forward purchaser will pay to us an amount of cash equal to (A) the product of the (x) number of shares underlying such component and (y) the collared forward sale price for such component minus (B) the product of the (x) number of shares underlying such component of the relevant collared forward transaction, (y) Forward Hedge Selling Commission Rate and (z) hedge reference price. On each component prepayment date, we will be required to issue and pledge to the relevant collared forward purchaser the maximum number of shares underlying such component. However, we will, subject to certain conditions specified in the collared forward sale agreement, have the right to elect to receive a portion of the settlement amount corresponding to the excess of the collared forward sale price over the floor price in the form of our common stock, instead of cash, with the number of shares to be calculated based on the settlement reference price on the applicable valuation date for such component, in which case we expect our obligation to deliver shares of our common stock to the relevant collared forward purchaser at such maturity will be reduced by such amount. The sales and purchases of, and other hedge unwind transactions with respect to, our common stock by the relevant collared forward purchaser (or its affiliates or agents) on any valuation date in connection with settlement of any collared forward transaction may variously have a positive, negative or neutral impact on the market price of shares of our common stock, depending on market conditions at such times.</w:t>
      </w:r>
    </w:p>
    <w:p>
      <w:pPr>
        <w:spacing w:after="0" w:line="91" w:lineRule="exact"/>
        <w:rPr>
          <w:sz w:val="20"/>
          <w:szCs w:val="20"/>
          <w:color w:val="auto"/>
        </w:rPr>
      </w:pPr>
    </w:p>
    <w:p>
      <w:pPr>
        <w:ind w:right="40" w:firstLine="249"/>
        <w:spacing w:after="0" w:line="278" w:lineRule="auto"/>
        <w:rPr>
          <w:sz w:val="20"/>
          <w:szCs w:val="20"/>
          <w:color w:val="auto"/>
        </w:rPr>
      </w:pPr>
      <w:r>
        <w:rPr>
          <w:rFonts w:ascii="Times New Roman" w:cs="Times New Roman" w:eastAsia="Times New Roman" w:hAnsi="Times New Roman"/>
          <w:sz w:val="14"/>
          <w:szCs w:val="14"/>
          <w:color w:val="auto"/>
        </w:rPr>
        <w:t>The amounts upon prepayment of and upon settlement of any collared forward transaction that we may receive cannot be determined in advance. The aggregate prepayment amount for such collared forward transaction will not be determined until all of the floor prices have been determined at completion of the initial hedging period for such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1260"/>
          </w:cols>
          <w:pgMar w:left="300" w:top="1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14"/>
          <w:szCs w:val="14"/>
          <w:color w:val="auto"/>
        </w:rPr>
        <w:t>collared forward transaction. The aggregate collared settlement amount for such collared forward transaction will not be determined until the end of all valuation dates for such collared forward transaction and will therefore be subject to market risk during such valuation dates for such collared forward transaction, subject to the floor price and cap price.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 provisions contained in the initially priced forward sale agreements subject us to certain risks.</w:t>
      </w:r>
    </w:p>
    <w:p>
      <w:pPr>
        <w:spacing w:after="0" w:line="132" w:lineRule="exact"/>
        <w:rPr>
          <w:sz w:val="20"/>
          <w:szCs w:val="20"/>
          <w:color w:val="auto"/>
        </w:rPr>
      </w:pPr>
    </w:p>
    <w:p>
      <w:pPr>
        <w:ind w:right="100" w:firstLine="249"/>
        <w:spacing w:after="0" w:line="278" w:lineRule="auto"/>
        <w:rPr>
          <w:sz w:val="20"/>
          <w:szCs w:val="20"/>
          <w:color w:val="auto"/>
        </w:rPr>
      </w:pPr>
      <w:r>
        <w:rPr>
          <w:rFonts w:ascii="Times New Roman" w:cs="Times New Roman" w:eastAsia="Times New Roman" w:hAnsi="Times New Roman"/>
          <w:sz w:val="14"/>
          <w:szCs w:val="14"/>
          <w:color w:val="auto"/>
        </w:rPr>
        <w:t>Under the initially priced forward sale agreements, the relevant forward purchaser may have the right to elect an early termination date for an initially priced forward transaction (or, in certain cases, the portion thereof that it determines is affected by the relevant event) and require us to physically settle such initially priced forward transaction on a date specified by the forward purchaser if:</w:t>
      </w:r>
    </w:p>
    <w:p>
      <w:pPr>
        <w:spacing w:after="0" w:line="84" w:lineRule="exact"/>
        <w:rPr>
          <w:sz w:val="20"/>
          <w:szCs w:val="20"/>
          <w:color w:val="auto"/>
        </w:rPr>
      </w:pPr>
    </w:p>
    <w:p>
      <w:pPr>
        <w:ind w:left="500" w:right="160" w:hanging="248"/>
        <w:spacing w:after="0" w:line="278" w:lineRule="auto"/>
        <w:tabs>
          <w:tab w:leader="none" w:pos="4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commercially reasonable judgment of the forward purchaser, it or its affiliate is unable to hedge its exposure under such initially priced forward transaction because insufficient shares of our common stock are made available for borrowing by third-party stock lenders or it or its affiliate would incur a stock borrowing cost in excess of a specified threshold;</w:t>
      </w:r>
    </w:p>
    <w:p>
      <w:pPr>
        <w:spacing w:after="0" w:line="84" w:lineRule="exact"/>
        <w:rPr>
          <w:rFonts w:ascii="Times New Roman" w:cs="Times New Roman" w:eastAsia="Times New Roman" w:hAnsi="Times New Roman"/>
          <w:sz w:val="14"/>
          <w:szCs w:val="14"/>
          <w:color w:val="auto"/>
        </w:rPr>
      </w:pPr>
    </w:p>
    <w:p>
      <w:pPr>
        <w:ind w:left="500" w:hanging="248"/>
        <w:spacing w:after="0" w:line="262" w:lineRule="auto"/>
        <w:tabs>
          <w:tab w:leader="none" w:pos="4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declare any dividend, issue or distribution on shares of our common stock (i) payable in cash in excess of a specified amount (other than an extraordinary dividend), (ii) that constitutes an extraordinary dividend under the initially priced forward transaction, (iii) payable in securities of another company acquired or owned by us as a result of a spin-off or other similar transaction, or (iv) payable in any other type of securities (other than our common stock), rights, warrants or other assets for payment (cash or other consideration) at less than the prevailing market price;</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ownership thresholds applicable to the forward purchaser and its affiliates are exceeded;</w:t>
      </w:r>
    </w:p>
    <w:p>
      <w:pPr>
        <w:spacing w:after="0" w:line="129" w:lineRule="exact"/>
        <w:rPr>
          <w:rFonts w:ascii="Times New Roman" w:cs="Times New Roman" w:eastAsia="Times New Roman" w:hAnsi="Times New Roman"/>
          <w:sz w:val="14"/>
          <w:szCs w:val="14"/>
          <w:color w:val="auto"/>
        </w:rPr>
      </w:pPr>
    </w:p>
    <w:p>
      <w:pPr>
        <w:ind w:left="500" w:right="100" w:hanging="248"/>
        <w:spacing w:after="0" w:line="278" w:lineRule="auto"/>
        <w:tabs>
          <w:tab w:leader="none" w:pos="4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is announced that, if consummated, would result in a specified extraordinary event (including, among other things, certain mergers and tender offers, as well as certain events involving our nationalization, a delisting of our common stock or a change in law); or</w:t>
      </w:r>
    </w:p>
    <w:p>
      <w:pPr>
        <w:spacing w:after="0" w:line="84" w:lineRule="exact"/>
        <w:rPr>
          <w:rFonts w:ascii="Times New Roman" w:cs="Times New Roman" w:eastAsia="Times New Roman" w:hAnsi="Times New Roman"/>
          <w:sz w:val="14"/>
          <w:szCs w:val="14"/>
          <w:color w:val="auto"/>
        </w:rPr>
      </w:pPr>
    </w:p>
    <w:p>
      <w:pPr>
        <w:ind w:left="500" w:right="60" w:hanging="248"/>
        <w:spacing w:after="0" w:line="262" w:lineRule="auto"/>
        <w:tabs>
          <w:tab w:leader="none" w:pos="4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default or termination events occur, including, among other things, any material misrepresentation made by us in connection with our entry into the initially priced forward transaction, our bankruptcy or the occurrence of an event or circumstance causing certain payments or deliveries under, or material compliance with, the initially priced forward transaction to be unlawful (each as more fully described in the applicable forward sale agreement).</w:t>
      </w:r>
    </w:p>
    <w:p>
      <w:pPr>
        <w:spacing w:after="0" w:line="96" w:lineRule="exact"/>
        <w:rPr>
          <w:sz w:val="20"/>
          <w:szCs w:val="20"/>
          <w:color w:val="auto"/>
        </w:rPr>
      </w:pPr>
    </w:p>
    <w:p>
      <w:pPr>
        <w:ind w:right="60" w:firstLine="249"/>
        <w:spacing w:after="0" w:line="255" w:lineRule="auto"/>
        <w:rPr>
          <w:sz w:val="20"/>
          <w:szCs w:val="20"/>
          <w:color w:val="auto"/>
        </w:rPr>
      </w:pPr>
      <w:r>
        <w:rPr>
          <w:rFonts w:ascii="Times New Roman" w:cs="Times New Roman" w:eastAsia="Times New Roman" w:hAnsi="Times New Roman"/>
          <w:sz w:val="14"/>
          <w:szCs w:val="14"/>
          <w:color w:val="auto"/>
        </w:rPr>
        <w:t>A forward purchaser’s decision to exercise its right to elect an early termination date and cause the early settlement of any initially priced forward transaction (or, in certain cases, the portion thereof that it determines is affected by the relevant event) will be made irrespective of our interests, including our need for capital. In such cases, we could be required to issue and deliver shares of our common stock under the physical settlement provisions of that particular initially priced forward transaction irrespective of our capital needs, which would result in dilution to our earnings per share and return on equity. In addition, upon certain insolvency filings relating to us, the particular initially priced forward sale agreement will terminate without further liability of either party. Following any such termination, we would not issue any shares of our common stock or receive any proceeds pursuant to such initially priced forward sale agreement.</w:t>
      </w:r>
    </w:p>
    <w:p>
      <w:pPr>
        <w:spacing w:after="0" w:line="100" w:lineRule="exact"/>
        <w:rPr>
          <w:sz w:val="20"/>
          <w:szCs w:val="20"/>
          <w:color w:val="auto"/>
        </w:rPr>
      </w:pPr>
    </w:p>
    <w:p>
      <w:pPr>
        <w:ind w:right="40" w:firstLine="249"/>
        <w:spacing w:after="0" w:line="253" w:lineRule="auto"/>
        <w:rPr>
          <w:sz w:val="20"/>
          <w:szCs w:val="20"/>
          <w:color w:val="auto"/>
        </w:rPr>
      </w:pPr>
      <w:r>
        <w:rPr>
          <w:rFonts w:ascii="Times New Roman" w:cs="Times New Roman" w:eastAsia="Times New Roman" w:hAnsi="Times New Roman"/>
          <w:sz w:val="14"/>
          <w:szCs w:val="14"/>
          <w:color w:val="auto"/>
        </w:rPr>
        <w:t>We expect that any initially priced forward transaction will settle by the settlement date specified in the related initially priced forward sale agreement. However, such initially priced forward transaction may be settled earlier in whole or in part at our option, subject to the satisfaction of certain conditions. The applicable initially priced forward transaction will be physically settled by delivery of shares of our common stock, unless we elect to cash settle or net share settle such initially priced forward transaction, subject to the satisfaction of certain conditions. Upon physical settlement or, if we so elect, net share settlement of such initially priced forward transaction, delivery of shares of our common stock in connection with such physical settlement or, to the extent we are obligated to deliver shares of our common stock, net share settlement will result in dilution to our earnings per share and return on equity. If we elect cash settlement or net share settlement with respect to all or a portion of the shares of our common stock underlying a particular initially priced forward transaction, we expect that the relevant forward purchaser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affiliate thereof) will purchase a number of shares of our common stock in secondary market transactions over an unwind period as necessary to satisfy its or its affiliate’s obligation to return the shares of our common stock borrowed from third-party stock lenders in connection with their related sales of shares of our common stock (after taking into consideration any shares of our common stock to be delivered by us to such forward purchaser, in the case of net share settlement) and, if applicable, in the case of net share settlement, to deliver shares of our common stock to us to the extent required in settlement of such initially priced forward transaction. The purchase of shares of our common stock in connection with the relevant forward purchaser or its affiliate unwinding its hedge positions could result in an increase (or a reduction in the amount of any decrease) in the price per share of our common stock over such time, thereby increasing the amount of cash we would owe to such forward purchaser (or decreasing the amount of cash such forward purchaser would owe us) upon a cash settlement of such initially priced forward transaction or increasing the number of shares of our common stock we would deliver to such forward purchaser (or decreasing the number of shares of our common stock such forward purchaser would deliver to us) upon net share settlement of such initially priced forward transaction.</w:t>
      </w:r>
    </w:p>
    <w:p>
      <w:pPr>
        <w:spacing w:after="0" w:line="102" w:lineRule="exact"/>
        <w:rPr>
          <w:sz w:val="20"/>
          <w:szCs w:val="20"/>
          <w:color w:val="auto"/>
        </w:rPr>
      </w:pPr>
    </w:p>
    <w:p>
      <w:pPr>
        <w:ind w:right="20" w:firstLine="249"/>
        <w:spacing w:after="0" w:line="251" w:lineRule="auto"/>
        <w:rPr>
          <w:sz w:val="20"/>
          <w:szCs w:val="20"/>
          <w:color w:val="auto"/>
        </w:rPr>
      </w:pPr>
      <w:r>
        <w:rPr>
          <w:rFonts w:ascii="Times New Roman" w:cs="Times New Roman" w:eastAsia="Times New Roman" w:hAnsi="Times New Roman"/>
          <w:sz w:val="14"/>
          <w:szCs w:val="14"/>
          <w:color w:val="auto"/>
        </w:rPr>
        <w:t>The forward sale price that we expect to receive upon physical settlement of an initially priced forward transaction will be subject to adjustment on a daily basis based on a floating interest rate factor equal to the overnight bank funding rate less a spread and will be decreased on certain dates by amounts related to expected dividends, if any, on shares of our common stock during the term of the applicable initially priced forward sale agreement. If the overnight bank funding rate is less than the spread for a particular initially priced forward transaction on any day, the interest rate factor will result in a reduction of the applicable forward sale price for such day. If the market value of shares of our common stock during the relevant unwind period under a particular initially priced forward transaction is above the related forward sale price, in the case of cash settlement, we would pay the applicable forward purchaser under the relevant initially priced forward sale agreement an amount in cash equal to the difference or, in the case of net share settlement, we would deliver to such forward purchaser a number of shares of our common stock having a value equal to the difference. Thus, we could be responsible for a potentially substantial cash payment under such initially priced forward transaction. If the market value of shares of our common stock during the relevant unwind period under a particular initially priced forward transaction is below the relevant forward sale price, in the case of cash settlement, we would be paid the difference in cash by a forward purchaser under the applicable initially priced forward sale agreement or, in the case of net share settlement, we would receive from such forward purchaser a number of shares of our common stock having a value equal to the difference.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limited to physical settlement for a substantial portion of the collared forward transaction.</w:t>
      </w:r>
    </w:p>
    <w:p>
      <w:pPr>
        <w:spacing w:after="0" w:line="132" w:lineRule="exact"/>
        <w:rPr>
          <w:sz w:val="20"/>
          <w:szCs w:val="20"/>
          <w:color w:val="auto"/>
        </w:rPr>
      </w:pPr>
    </w:p>
    <w:p>
      <w:pPr>
        <w:jc w:val="both"/>
        <w:ind w:right="160" w:firstLine="249"/>
        <w:spacing w:after="0" w:line="262" w:lineRule="auto"/>
        <w:rPr>
          <w:sz w:val="20"/>
          <w:szCs w:val="20"/>
          <w:color w:val="auto"/>
        </w:rPr>
      </w:pPr>
      <w:r>
        <w:rPr>
          <w:rFonts w:ascii="Times New Roman" w:cs="Times New Roman" w:eastAsia="Times New Roman" w:hAnsi="Times New Roman"/>
          <w:sz w:val="14"/>
          <w:szCs w:val="14"/>
          <w:color w:val="auto"/>
        </w:rPr>
        <w:t>We expect that settlement of any collared forward transaction generally will occur on or before the settlement dates specified in the applicable collared forward sale agreement. We also expect that each collared forward transaction will be physically settled by delivery of shares of our common stock. Upon physical settlement of such collared forward transaction, delivery of shares of our common stock in connection with such physical settlement would result in dilution to our earnings per share and return on equity.</w:t>
      </w:r>
    </w:p>
    <w:p>
      <w:pPr>
        <w:spacing w:after="0" w:line="96"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At maturity of a collared forward transaction, we will be obligated to physically settle by delivery of the number of shares of our common stock underlying such collared forward transaction against payment therefor. Consequently, we will not be able to avoid settling a collared forward transaction by issuing shares of our common stock against payment therefor at the time of settlement even if we do not have a need for capital at that time.</w:t>
      </w:r>
    </w:p>
    <w:p>
      <w:pPr>
        <w:spacing w:after="0" w:line="96" w:lineRule="exact"/>
        <w:rPr>
          <w:sz w:val="20"/>
          <w:szCs w:val="20"/>
          <w:color w:val="auto"/>
        </w:rPr>
      </w:pPr>
    </w:p>
    <w:p>
      <w:pPr>
        <w:ind w:right="120" w:firstLine="249"/>
        <w:spacing w:after="0" w:line="278" w:lineRule="auto"/>
        <w:rPr>
          <w:sz w:val="20"/>
          <w:szCs w:val="20"/>
          <w:color w:val="auto"/>
        </w:rPr>
      </w:pPr>
      <w:r>
        <w:rPr>
          <w:rFonts w:ascii="Times New Roman" w:cs="Times New Roman" w:eastAsia="Times New Roman" w:hAnsi="Times New Roman"/>
          <w:sz w:val="14"/>
          <w:szCs w:val="14"/>
          <w:color w:val="auto"/>
        </w:rPr>
        <w:t>Notwithstanding the general requirement that we physically settle each collared forward transaction, we may, subject to certain conditions, elect to net share settle a portion of such collared forward transaction corresponding to the excess of the collared forward sale price over the floor price.</w:t>
      </w:r>
    </w:p>
    <w:p>
      <w:pPr>
        <w:spacing w:after="0" w:line="84" w:lineRule="exact"/>
        <w:rPr>
          <w:sz w:val="20"/>
          <w:szCs w:val="20"/>
          <w:color w:val="auto"/>
        </w:rPr>
      </w:pPr>
    </w:p>
    <w:p>
      <w:pPr>
        <w:ind w:right="40" w:firstLine="249"/>
        <w:spacing w:after="0" w:line="257" w:lineRule="auto"/>
        <w:rPr>
          <w:sz w:val="20"/>
          <w:szCs w:val="20"/>
          <w:color w:val="auto"/>
        </w:rPr>
      </w:pPr>
      <w:r>
        <w:rPr>
          <w:rFonts w:ascii="Times New Roman" w:cs="Times New Roman" w:eastAsia="Times New Roman" w:hAnsi="Times New Roman"/>
          <w:sz w:val="14"/>
          <w:szCs w:val="14"/>
          <w:color w:val="auto"/>
        </w:rPr>
        <w:t>Under the collared forward sale agreements, the relevant collared forward purchaser will have the right to terminate a collared forward transaction (or, in certain cases, the portion thereof that it determines is affected by the event giving rise to the termination right) at any time prior to maturity and require us to physically settle the collared forward transaction on a date specified by the relevant collared forward purchaser under certain conditions or upon the occurrence of certain events, irrespective of our interests, including our need for capital, as set forth in the applicable collared forward sale agreement. The relevant collared forward purchaser also may terminate a collared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forward transaction at any time prior to maturity and require us to physically settle the collared forward transaction upon the declaration by us of any dividend or distribution on shares of our common stock which are greater than, later than or in addition to the expected dividends, if any, as of the trade date of the collared forward transaction.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Early termination provisions contained in the collared forward sale agreements subject us to certain risks.</w:t>
      </w:r>
    </w:p>
    <w:p>
      <w:pPr>
        <w:spacing w:after="0" w:line="132" w:lineRule="exact"/>
        <w:rPr>
          <w:sz w:val="20"/>
          <w:szCs w:val="20"/>
          <w:color w:val="auto"/>
        </w:rPr>
      </w:pPr>
    </w:p>
    <w:p>
      <w:pPr>
        <w:ind w:right="80" w:firstLine="249"/>
        <w:spacing w:after="0" w:line="262" w:lineRule="auto"/>
        <w:rPr>
          <w:sz w:val="20"/>
          <w:szCs w:val="20"/>
          <w:color w:val="auto"/>
        </w:rPr>
      </w:pPr>
      <w:r>
        <w:rPr>
          <w:rFonts w:ascii="Times New Roman" w:cs="Times New Roman" w:eastAsia="Times New Roman" w:hAnsi="Times New Roman"/>
          <w:sz w:val="14"/>
          <w:szCs w:val="14"/>
          <w:color w:val="auto"/>
        </w:rPr>
        <w:t>Although we may settle a collared forward transaction only on the scheduled maturity dates thereof and may not terminate any collared forward transaction early, the relevant collared forward purchaser may terminate a collared forward transaction early upon the occurrence of certain events to be specified in the collared forward sale agreement for such collared forward transaction, including, among other things:</w:t>
      </w:r>
    </w:p>
    <w:p>
      <w:pPr>
        <w:spacing w:after="0" w:line="96" w:lineRule="exact"/>
        <w:rPr>
          <w:sz w:val="20"/>
          <w:szCs w:val="20"/>
          <w:color w:val="auto"/>
        </w:rPr>
      </w:pPr>
    </w:p>
    <w:p>
      <w:pPr>
        <w:ind w:left="500" w:hanging="248"/>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mergers, certain events involving our nationalization or insolvency, a delisting of shares of our common stock and a change in law;</w:t>
      </w:r>
    </w:p>
    <w:p>
      <w:pPr>
        <w:spacing w:after="0" w:line="129" w:lineRule="exact"/>
        <w:rPr>
          <w:rFonts w:ascii="Times New Roman" w:cs="Times New Roman" w:eastAsia="Times New Roman" w:hAnsi="Times New Roman"/>
          <w:sz w:val="14"/>
          <w:szCs w:val="14"/>
          <w:color w:val="auto"/>
        </w:rPr>
      </w:pPr>
    </w:p>
    <w:p>
      <w:pPr>
        <w:ind w:left="500" w:right="500" w:hanging="248"/>
        <w:spacing w:after="0" w:line="278" w:lineRule="auto"/>
        <w:tabs>
          <w:tab w:leader="none" w:pos="4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collared forward purchaser or its affiliate (i) after using commercially reasonable efforts, is unable to hedge its exposure under such collared forward transaction or (ii) under certain circumstances, would incur a materially increased cost to hedge such exposure;</w:t>
      </w:r>
    </w:p>
    <w:p>
      <w:pPr>
        <w:spacing w:after="0" w:line="84" w:lineRule="exact"/>
        <w:rPr>
          <w:rFonts w:ascii="Times New Roman" w:cs="Times New Roman" w:eastAsia="Times New Roman" w:hAnsi="Times New Roman"/>
          <w:sz w:val="14"/>
          <w:szCs w:val="14"/>
          <w:color w:val="auto"/>
        </w:rPr>
      </w:pPr>
    </w:p>
    <w:p>
      <w:pPr>
        <w:ind w:left="500" w:right="140" w:hanging="248"/>
        <w:spacing w:after="0" w:line="262" w:lineRule="auto"/>
        <w:tabs>
          <w:tab w:leader="none" w:pos="4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default or termination events, including any material misrepresentation made by us in connection with entering into such collared forward transaction, our bankruptcy or the occurrence of an event or circumstance causing certain payments or deliveries under, or material compliance with, such collared forward transaction to be unlawful (each as more fully set forth in the applicable forward sale agreement); or</w:t>
      </w:r>
    </w:p>
    <w:p>
      <w:pPr>
        <w:spacing w:after="0" w:line="96" w:lineRule="exact"/>
        <w:rPr>
          <w:rFonts w:ascii="Times New Roman" w:cs="Times New Roman" w:eastAsia="Times New Roman" w:hAnsi="Times New Roman"/>
          <w:sz w:val="14"/>
          <w:szCs w:val="14"/>
          <w:color w:val="auto"/>
        </w:rPr>
      </w:pPr>
    </w:p>
    <w:p>
      <w:pPr>
        <w:ind w:left="500" w:right="460" w:hanging="248"/>
        <w:spacing w:after="0" w:line="278" w:lineRule="auto"/>
        <w:tabs>
          <w:tab w:leader="none" w:pos="49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market disruption event during a specified valuation period which lasts for more than nine consecutive scheduled trading days (in each case, as determined pursuant to the terms of such collared forward transaction).</w:t>
      </w:r>
    </w:p>
    <w:p>
      <w:pPr>
        <w:spacing w:after="0" w:line="84" w:lineRule="exact"/>
        <w:rPr>
          <w:sz w:val="20"/>
          <w:szCs w:val="20"/>
          <w:color w:val="auto"/>
        </w:rPr>
      </w:pPr>
    </w:p>
    <w:p>
      <w:pPr>
        <w:ind w:firstLine="249"/>
        <w:spacing w:after="0" w:line="251" w:lineRule="auto"/>
        <w:rPr>
          <w:sz w:val="20"/>
          <w:szCs w:val="20"/>
          <w:color w:val="auto"/>
        </w:rPr>
      </w:pPr>
      <w:r>
        <w:rPr>
          <w:rFonts w:ascii="Times New Roman" w:cs="Times New Roman" w:eastAsia="Times New Roman" w:hAnsi="Times New Roman"/>
          <w:sz w:val="14"/>
          <w:szCs w:val="14"/>
          <w:color w:val="auto"/>
        </w:rPr>
        <w:t>Upon such a termination in the case of the first three events specified above, such collared forward purchaser will determine, in good faith and in a commercially reasonable manner, the amount of the losses or costs that it will incur or the amount of the gains that it will realize under the circumstances in replacing or providing for itself the economic equivalent of (i) the material terms of the relevant collared forward transaction, including the payments and deliveries by the parties thereunder that would, but for the event leading to such termination, have been required on or after the date that the collared forward transaction was terminated and (ii) the rights and obligations of the parties in respect of the collared forward transaction. Upon termination of a collared forward transaction as a result of dividends or distributions on shares of our common stock which differ from expected dividends as of the trade date of a collared forward transaction or as a result of a market disruption event during the valuation period for a collared forward transaction which lasts for more than nine consecutive scheduled trading days, however, such collared forward purchaser will determine, in good faith and in a commercially reasonable manner, the amount of its total losses, costs and gains under such collared forward transaction, including those resulting from any loss of bargain, cost of funding or, without duplication, loss, cost or gain from terminating, liquidating, obtaining or reestablishing any hedge or related trading position. In either case, we will be required to pay to such collared forward purchaser any amount of such losses or costs and will be entitled to receive from it any amount of such gains remaining after netting all such amounts against each other.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Price and other adjustment provisions in the collared forward sale agreements will affect the economic results of the collared forward transactions thereunder.</w:t>
      </w:r>
    </w:p>
    <w:p>
      <w:pPr>
        <w:spacing w:after="0" w:line="132" w:lineRule="exact"/>
        <w:rPr>
          <w:sz w:val="20"/>
          <w:szCs w:val="20"/>
          <w:color w:val="auto"/>
        </w:rPr>
      </w:pPr>
    </w:p>
    <w:p>
      <w:pPr>
        <w:ind w:right="100" w:firstLine="249"/>
        <w:spacing w:after="0" w:line="283" w:lineRule="auto"/>
        <w:rPr>
          <w:sz w:val="20"/>
          <w:szCs w:val="20"/>
          <w:color w:val="auto"/>
        </w:rPr>
      </w:pPr>
      <w:r>
        <w:rPr>
          <w:rFonts w:ascii="Times New Roman" w:cs="Times New Roman" w:eastAsia="Times New Roman" w:hAnsi="Times New Roman"/>
          <w:sz w:val="13"/>
          <w:szCs w:val="13"/>
          <w:color w:val="auto"/>
        </w:rPr>
        <w:t>The collared forward sale agreement for each collared forward transaction will provide for the relevant collared forward purchaser to be able to make certain price and other adjustments to the terms of the collared forward transaction in good faith and a commercially reasonable manner to account for the economic effect on the collared forward transaction of certain events, including (among other things) our payment of dividends and distributions on the shares of our common stock and the occurrence of certain other events which do not permit such collared forward purchaser to terminate the collared forward transaction but for which anti-dilution and other adjustments are necessary in order to preserve the fair value of the collared forward transaction. Any such price and other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adjustments will affect the economic results that we experience upon the settlement of the relevant collared forward transactions.</w:t>
      </w:r>
    </w:p>
    <w:p>
      <w:pPr>
        <w:spacing w:after="0" w:line="12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In the case of certain bankruptcy or insolvency filings, any forward transaction will automatically terminate, and we would not receive the expected proceeds from any forward sales of our common stock.</w:t>
      </w:r>
    </w:p>
    <w:p>
      <w:pPr>
        <w:spacing w:after="0" w:line="82" w:lineRule="exact"/>
        <w:rPr>
          <w:sz w:val="20"/>
          <w:szCs w:val="20"/>
          <w:color w:val="auto"/>
        </w:rPr>
      </w:pPr>
    </w:p>
    <w:p>
      <w:pPr>
        <w:ind w:firstLine="249"/>
        <w:spacing w:after="0" w:line="253" w:lineRule="auto"/>
        <w:rPr>
          <w:sz w:val="20"/>
          <w:szCs w:val="20"/>
          <w:color w:val="auto"/>
        </w:rPr>
      </w:pPr>
      <w:r>
        <w:rPr>
          <w:rFonts w:ascii="Times New Roman" w:cs="Times New Roman" w:eastAsia="Times New Roman" w:hAnsi="Times New Roman"/>
          <w:sz w:val="14"/>
          <w:szCs w:val="14"/>
          <w:color w:val="auto"/>
        </w:rPr>
        <w:t>If we institute or consent to, or an appropriate regulatory or other authority institutes against us, a proceeding seeking a judgment in bankruptcy or insolvency or any other relief under any bankruptcy or insolvency law or other similar law affecting creditors’ rights or if we or such authority presents a petition for our winding up or liquidation or we consent to such a petition, any forward transaction will automatically terminate. If any forward transaction so terminates under these circumstances, we would not be obligated to deliver to the relevant forward purchaser any shares of our common stock not previously delivered, and the forward purchaser would be discharged from its obligation to pay the applicable forward sale price per share in respect of any shares of our common stock not previously settled. Therefore, to the extent there are any shares of our common stock with respect to which there has been no settlement under any such forward transaction at the time of the institution of or consent to any such bankruptcy or insolvency proceedings or any such petition, we would not receive the forward sale price per share in respect of those shares of our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counterparty risk with respect to each forward transaction, if any, and the forward transactions, if any, may not operate as planned.</w:t>
      </w:r>
    </w:p>
    <w:p>
      <w:pPr>
        <w:spacing w:after="0" w:line="132" w:lineRule="exact"/>
        <w:rPr>
          <w:sz w:val="20"/>
          <w:szCs w:val="20"/>
          <w:color w:val="auto"/>
        </w:rPr>
      </w:pPr>
    </w:p>
    <w:p>
      <w:pPr>
        <w:ind w:right="20" w:firstLine="249"/>
        <w:spacing w:after="0" w:line="257" w:lineRule="auto"/>
        <w:rPr>
          <w:sz w:val="20"/>
          <w:szCs w:val="20"/>
          <w:color w:val="auto"/>
        </w:rPr>
      </w:pPr>
      <w:r>
        <w:rPr>
          <w:rFonts w:ascii="Times New Roman" w:cs="Times New Roman" w:eastAsia="Times New Roman" w:hAnsi="Times New Roman"/>
          <w:sz w:val="14"/>
          <w:szCs w:val="14"/>
          <w:color w:val="auto"/>
        </w:rPr>
        <w:t>The forward purchasers are financial institutions, and we will be subject to the risk that a forward purchaser might default under any forward transaction we may enter into. Our exposure to the credit risk of the forward transactions will not be secured by any collateral. Global economic conditions have from time to time resulted in the actual or perceived failure or financial difficulties of many financial institutions. If a forward purchaser becomes subject to insolvency proceedings, we will become an unsecured creditor in those proceedings with a claim equal to our net exposure at that time under the applicable forward transaction. We can provide no assurances as to the financial stability or viability of any forward purchaser.</w:t>
      </w:r>
    </w:p>
    <w:p>
      <w:pPr>
        <w:spacing w:after="0" w:line="100" w:lineRule="exact"/>
        <w:rPr>
          <w:sz w:val="20"/>
          <w:szCs w:val="20"/>
          <w:color w:val="auto"/>
        </w:rPr>
      </w:pPr>
    </w:p>
    <w:p>
      <w:pPr>
        <w:ind w:right="20" w:firstLine="249"/>
        <w:spacing w:after="0" w:line="255" w:lineRule="auto"/>
        <w:rPr>
          <w:sz w:val="20"/>
          <w:szCs w:val="20"/>
          <w:color w:val="auto"/>
        </w:rPr>
      </w:pPr>
      <w:r>
        <w:rPr>
          <w:rFonts w:ascii="Times New Roman" w:cs="Times New Roman" w:eastAsia="Times New Roman" w:hAnsi="Times New Roman"/>
          <w:sz w:val="14"/>
          <w:szCs w:val="14"/>
          <w:color w:val="auto"/>
        </w:rPr>
        <w:t>In addition, the forward transactions are complex, and they may not operate as planned. For example, the terms of any forward transaction may be subject to adjustment or modification if certain customary disruption events, extraordinary events or announcements specified in the relevant forward sale agreement occur. The relevant forward purchaser will also have termination rights in case any events of default, termination events or other similar conditions or events to be specified in the forward sale agreement for a collared forward transaction occur. Accordingly, the forward transactions may not operate as we intend if their terms are required to be adjusted as a result of transactions in the future or are required to be adjusted or terminated upon unanticipated developments that may adversely affect the functioning of the forward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1260"/>
          </w:cols>
          <w:pgMar w:left="300" w:top="1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2" w:lineRule="exact"/>
        <w:rPr>
          <w:sz w:val="20"/>
          <w:szCs w:val="20"/>
          <w:color w:val="auto"/>
        </w:rPr>
      </w:pPr>
    </w:p>
    <w:p>
      <w:pPr>
        <w:jc w:val="both"/>
        <w:ind w:right="240" w:firstLine="249"/>
        <w:spacing w:after="0" w:line="257" w:lineRule="auto"/>
        <w:rPr>
          <w:sz w:val="20"/>
          <w:szCs w:val="20"/>
          <w:color w:val="auto"/>
        </w:rPr>
      </w:pPr>
      <w:r>
        <w:rPr>
          <w:rFonts w:ascii="Times New Roman" w:cs="Times New Roman" w:eastAsia="Times New Roman" w:hAnsi="Times New Roman"/>
          <w:sz w:val="14"/>
          <w:szCs w:val="14"/>
          <w:color w:val="auto"/>
        </w:rPr>
        <w:t>We may issue and sell shares of our common stock having aggregate gross sales proceeds of up to $3,000,000,000 from time to time pursuant to the equity distribution agreement. The amount of proceeds from this offering will depend upon the number of shares of our common stock sold and the market price at which they are sold.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equity distribution agreement as a source of financing.</w:t>
      </w:r>
    </w:p>
    <w:p>
      <w:pPr>
        <w:spacing w:after="0" w:line="100" w:lineRule="exact"/>
        <w:rPr>
          <w:sz w:val="20"/>
          <w:szCs w:val="20"/>
          <w:color w:val="auto"/>
        </w:rPr>
      </w:pPr>
    </w:p>
    <w:p>
      <w:pPr>
        <w:ind w:right="20" w:firstLine="249"/>
        <w:spacing w:after="0" w:line="262"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after deducting commissions and offering expenses payable by us, to fund future growth, including potential future acquisitions, and for general corporate and working capital purposes. Pending these uses, we may invest the net proceeds from this offering in short-term, interest-bearing instruments. Accordingly, we will retain broad discretion over the use of these proceeds.</w:t>
      </w:r>
    </w:p>
    <w:p>
      <w:pPr>
        <w:spacing w:after="0" w:line="96"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We will not initially receive any proceeds from the sale by the forward sellers, as agents for the forward purchasers, of borrowed shares of our common stock as a hedge of any forward transaction. We intend to use any cash proceeds that we receive upon physical settlement of any forward transaction, upon cash settlement of an initially priced forward transaction, if we elect cash settlement, or upon any prepayment of any collared forward transaction for the purposes provided in the immediately preceding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32" w:lineRule="exact"/>
        <w:rPr>
          <w:sz w:val="20"/>
          <w:szCs w:val="20"/>
          <w:color w:val="auto"/>
        </w:rPr>
      </w:pPr>
    </w:p>
    <w:p>
      <w:pPr>
        <w:ind w:firstLine="249"/>
        <w:spacing w:after="0" w:line="253"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currently intend to pay any cash dividends for the foreseeable future. It is the present intention of our Board to retain all earnings, if any, for use in our business operations and, accordingly, our Board does not anticipate declaring any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entered into by us or our subsidiaries from time to time. For example, in connection with the Direct Funding Agreement with the United States Department of Commerce, we are currently restricted from buying back outstanding shares of our capital stock without obtaining prior approval and from paying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1200"/>
          </w:cols>
          <w:pgMar w:left="300" w:top="125"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32" w:lineRule="exact"/>
        <w:rPr>
          <w:sz w:val="20"/>
          <w:szCs w:val="20"/>
          <w:color w:val="auto"/>
        </w:rPr>
      </w:pPr>
    </w:p>
    <w:p>
      <w:pPr>
        <w:ind w:right="80" w:firstLine="249"/>
        <w:spacing w:after="0" w:line="262" w:lineRule="auto"/>
        <w:rPr>
          <w:sz w:val="20"/>
          <w:szCs w:val="20"/>
          <w:color w:val="auto"/>
        </w:rPr>
      </w:pPr>
      <w:r>
        <w:rPr>
          <w:rFonts w:ascii="Times New Roman" w:cs="Times New Roman" w:eastAsia="Times New Roman" w:hAnsi="Times New Roman"/>
          <w:sz w:val="14"/>
          <w:szCs w:val="14"/>
          <w:color w:val="auto"/>
        </w:rPr>
        <w:t>If you invest in our common stock, your interest will be diluted immediately to the extent of the difference between the public offering price per share of our common stock and the as adjusted net tangible book value per share of common stock after this offering. We calculate net tangible book value per share by dividing our net tangible assets (tangible assets less total liabilities) by the number of shares of our common stock issued and outstanding as of March 31, 2026.</w:t>
      </w:r>
    </w:p>
    <w:p>
      <w:pPr>
        <w:spacing w:after="0" w:line="96" w:lineRule="exact"/>
        <w:rPr>
          <w:sz w:val="20"/>
          <w:szCs w:val="20"/>
          <w:color w:val="auto"/>
        </w:rPr>
      </w:pPr>
    </w:p>
    <w:p>
      <w:pPr>
        <w:ind w:right="80" w:firstLine="249"/>
        <w:spacing w:after="0" w:line="278" w:lineRule="auto"/>
        <w:rPr>
          <w:sz w:val="20"/>
          <w:szCs w:val="20"/>
          <w:color w:val="auto"/>
        </w:rPr>
      </w:pPr>
      <w:r>
        <w:rPr>
          <w:rFonts w:ascii="Times New Roman" w:cs="Times New Roman" w:eastAsia="Times New Roman" w:hAnsi="Times New Roman"/>
          <w:sz w:val="14"/>
          <w:szCs w:val="14"/>
          <w:color w:val="auto"/>
        </w:rPr>
        <w:t>The net tangible book value of our common stock as of March 31, 2026 was approximately $2,264.4 million, or, approximately $3.93 per tangible book value per share, and represents the amount of our total tangible assets less total liabilities divided by the total number of shares of our common stock outstanding.</w:t>
      </w:r>
    </w:p>
    <w:p>
      <w:pPr>
        <w:spacing w:after="0" w:line="84" w:lineRule="exact"/>
        <w:rPr>
          <w:sz w:val="20"/>
          <w:szCs w:val="20"/>
          <w:color w:val="auto"/>
        </w:rPr>
      </w:pPr>
    </w:p>
    <w:p>
      <w:pPr>
        <w:ind w:right="140" w:firstLine="249"/>
        <w:spacing w:after="0" w:line="278" w:lineRule="auto"/>
        <w:rPr>
          <w:sz w:val="20"/>
          <w:szCs w:val="20"/>
          <w:color w:val="auto"/>
        </w:rPr>
      </w:pPr>
      <w:r>
        <w:rPr>
          <w:rFonts w:ascii="Times New Roman" w:cs="Times New Roman" w:eastAsia="Times New Roman" w:hAnsi="Times New Roman"/>
          <w:sz w:val="14"/>
          <w:szCs w:val="14"/>
          <w:color w:val="auto"/>
        </w:rPr>
        <w:t>Dilution per share to new investors represents the difference between the amount per share paid by purchasers for our common stock in this offering and the net tangible book value per share of our common stock immediately following the completion of this offering.</w:t>
      </w:r>
    </w:p>
    <w:p>
      <w:pPr>
        <w:spacing w:after="0" w:line="84" w:lineRule="exact"/>
        <w:rPr>
          <w:sz w:val="20"/>
          <w:szCs w:val="20"/>
          <w:color w:val="auto"/>
        </w:rPr>
      </w:pPr>
    </w:p>
    <w:p>
      <w:pPr>
        <w:ind w:right="60" w:firstLine="249"/>
        <w:spacing w:after="0" w:line="283" w:lineRule="auto"/>
        <w:rPr>
          <w:sz w:val="20"/>
          <w:szCs w:val="20"/>
          <w:color w:val="auto"/>
        </w:rPr>
      </w:pPr>
      <w:r>
        <w:rPr>
          <w:rFonts w:ascii="Times New Roman" w:cs="Times New Roman" w:eastAsia="Times New Roman" w:hAnsi="Times New Roman"/>
          <w:sz w:val="13"/>
          <w:szCs w:val="13"/>
          <w:color w:val="auto"/>
        </w:rPr>
        <w:t>After giving effect to the sale of shares of common stock offered by this prospectus at an assumed public offering price of $131.16 per share (the last reported sale price of our common stock on The Nasdaq Global Select Market on May 18, 2026), and after deducting commissions and estimated aggregate offering expenses payable by us, our as adjusted net tangible book value as of March 31, 2026 would have been approximately $5,204.4 million, or approximately $8.69 per share. This represents an immediate increase in net tangible book value of approximately $4.76 per share to our existing stockholders and an immediate dilution in as adjusted net tangible book value of approximately $122.47 per share to purchasers of our common stock in this offering, as illustrated by the following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680" w:type="dxa"/>
            <w:vAlign w:val="bottom"/>
            <w:shd w:val="clear" w:color="auto" w:fill="CCEEFF"/>
          </w:tcPr>
          <w:p>
            <w:pPr>
              <w:spacing w:after="0"/>
              <w:rPr>
                <w:sz w:val="15"/>
                <w:szCs w:val="15"/>
                <w:color w:val="auto"/>
              </w:rPr>
            </w:pPr>
          </w:p>
        </w:tc>
        <w:tc>
          <w:tcPr>
            <w:tcW w:w="1580" w:type="dxa"/>
            <w:vAlign w:val="bottom"/>
            <w:gridSpan w:val="3"/>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131.16</w:t>
            </w:r>
          </w:p>
        </w:tc>
      </w:tr>
      <w:tr>
        <w:trPr>
          <w:trHeight w:val="177"/>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tangible book value per share as of March 31, 2026</w:t>
            </w:r>
          </w:p>
        </w:tc>
        <w:tc>
          <w:tcPr>
            <w:tcW w:w="680" w:type="dxa"/>
            <w:vAlign w:val="bottom"/>
          </w:tcPr>
          <w:p>
            <w:pPr>
              <w:jc w:val="right"/>
              <w:ind w:right="5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investors</w:t>
            </w:r>
          </w:p>
        </w:tc>
        <w:tc>
          <w:tcPr>
            <w:tcW w:w="68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57"/>
        </w:trPr>
        <w:tc>
          <w:tcPr>
            <w:tcW w:w="80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As adjusted net tangible book value per share as of March 31, 2026 after giving effect to this offering</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gridSpan w:val="2"/>
          </w:tcPr>
          <w:p>
            <w:pPr>
              <w:jc w:val="right"/>
              <w:ind w:right="451"/>
              <w:spacing w:after="0" w:line="157"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8.69</w:t>
            </w:r>
          </w:p>
        </w:tc>
      </w:tr>
      <w:tr>
        <w:trPr>
          <w:trHeight w:val="192"/>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Dilution per share to investors purchasing our common stock in this offering</w:t>
            </w: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0" w:firstLine="249"/>
        <w:spacing w:after="0" w:line="251" w:lineRule="auto"/>
        <w:rPr>
          <w:sz w:val="20"/>
          <w:szCs w:val="20"/>
          <w:color w:val="auto"/>
        </w:rPr>
      </w:pPr>
      <w:r>
        <w:rPr>
          <w:rFonts w:ascii="Times New Roman" w:cs="Times New Roman" w:eastAsia="Times New Roman" w:hAnsi="Times New Roman"/>
          <w:sz w:val="14"/>
          <w:szCs w:val="14"/>
          <w:color w:val="auto"/>
        </w:rPr>
        <w:t>The table above assumes for illustrative purposes that an aggregate of 22,872,827 shares of our common stock are sold at a price of $131.16 per share, the last reported sale price of our common stock on The Nasdaq Global Select Market on May 18, 2026, for aggregate gross proceeds of approximately $3.0 billion. The shares sold in this offering, if any, will be sold from time to time at various prices. An increase of $1.00 per share of common stock in the price at which the shares of common stock are sold from the assumed offering price of $131.16 per share of common stock shown in the table above, assuming all of our shares of common stock in the aggregate amount of $3.0 billion during the term of the equity distribution agreement are sold at that price, would increase our adjusted net tangible book value per share of common stock after the offering to $8.70 per share of common stock and would increase the dilution in net tangible book value per share of common stock to new investors in this offering to $123.46 per share of common stock, after deducting commissions and estimated offering expenses payable by us. A decrease of $1.00 per share of common stock in the price at which the shares of common stock are sold from the assumed offering price of $131.16 per share of common stock shown in the table above, assuming all of our shares of common stock in the aggregate amount of $3.0 billion during the term of the equity distribution agreement are sold at that price, would decrease our adjusted net tangible book value per share of common stock after the offering to $8.69 per share of common stock and would decrease the dilution in net tangible book value per share of common stock to new investors in this offering to $121.47 per share of common stock, after deducting commissions and estimated aggregate offering expenses payable by us.</w:t>
      </w:r>
    </w:p>
    <w:p>
      <w:pPr>
        <w:spacing w:after="0" w:line="103" w:lineRule="exact"/>
        <w:rPr>
          <w:sz w:val="20"/>
          <w:szCs w:val="20"/>
          <w:color w:val="auto"/>
        </w:rPr>
      </w:pPr>
    </w:p>
    <w:p>
      <w:pPr>
        <w:ind w:right="120" w:firstLine="249"/>
        <w:spacing w:after="0" w:line="278" w:lineRule="auto"/>
        <w:rPr>
          <w:sz w:val="20"/>
          <w:szCs w:val="20"/>
          <w:color w:val="auto"/>
        </w:rPr>
      </w:pPr>
      <w:r>
        <w:rPr>
          <w:rFonts w:ascii="Times New Roman" w:cs="Times New Roman" w:eastAsia="Times New Roman" w:hAnsi="Times New Roman"/>
          <w:sz w:val="14"/>
          <w:szCs w:val="14"/>
          <w:color w:val="auto"/>
        </w:rPr>
        <w:t>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discussed above is illustrative only and will adjust based on the actual public offering price and other terms of this offering determined at pricing.</w:t>
      </w:r>
    </w:p>
    <w:p>
      <w:pPr>
        <w:spacing w:after="0" w:line="130" w:lineRule="exact"/>
        <w:rPr>
          <w:sz w:val="20"/>
          <w:szCs w:val="20"/>
          <w:color w:val="auto"/>
        </w:rPr>
      </w:pPr>
    </w:p>
    <w:p>
      <w:pPr>
        <w:ind w:firstLine="249"/>
        <w:spacing w:after="0" w:line="278" w:lineRule="auto"/>
        <w:rPr>
          <w:sz w:val="20"/>
          <w:szCs w:val="20"/>
          <w:color w:val="auto"/>
        </w:rPr>
      </w:pPr>
      <w:r>
        <w:rPr>
          <w:rFonts w:ascii="Times New Roman" w:cs="Times New Roman" w:eastAsia="Times New Roman" w:hAnsi="Times New Roman"/>
          <w:sz w:val="14"/>
          <w:szCs w:val="14"/>
          <w:color w:val="auto"/>
        </w:rPr>
        <w:t>The number of shares of our common stock that will be outstanding immediately after this offering is based on 578,867,475 shares outstanding as of May 13, 2026. The number of shares outstanding as of May 13, 2026, unless otherwise indicated, excludes:</w:t>
      </w:r>
    </w:p>
    <w:p>
      <w:pPr>
        <w:spacing w:after="0" w:line="84" w:lineRule="exact"/>
        <w:rPr>
          <w:sz w:val="20"/>
          <w:szCs w:val="20"/>
          <w:color w:val="auto"/>
        </w:rPr>
      </w:pPr>
    </w:p>
    <w:p>
      <w:pPr>
        <w:ind w:left="500" w:hanging="248"/>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3,547,448 shares of common stock issuable upon the exercise of outstanding stock options at a weighted-average exercise price of $1.09 per share;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11,153,499 shares of common stock reserved for issuance upon settlement of restricted stock units;</w:t>
      </w:r>
    </w:p>
    <w:p>
      <w:pPr>
        <w:spacing w:after="0" w:line="129" w:lineRule="exact"/>
        <w:rPr>
          <w:rFonts w:ascii="Times New Roman" w:cs="Times New Roman" w:eastAsia="Times New Roman" w:hAnsi="Times New Roman"/>
          <w:sz w:val="14"/>
          <w:szCs w:val="14"/>
          <w:color w:val="auto"/>
        </w:rPr>
      </w:pPr>
    </w:p>
    <w:p>
      <w:pPr>
        <w:ind w:left="500" w:right="20" w:hanging="248"/>
        <w:spacing w:after="0" w:line="262"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144,043,654 shares of our common stock reserved for future issuance under the Rocket Lab 2021 Stock Option and Incentive Plan (the “2021 Plan”). The number of shares reserved for issuance under the 2021 Plan automatically increases each January 1 by 5% of the outstanding number of shares of common stock on the immediately preceding December 31, or such lesser amount as determined by the plan administrator;</w:t>
      </w:r>
    </w:p>
    <w:p>
      <w:pPr>
        <w:spacing w:after="0" w:line="96" w:lineRule="exact"/>
        <w:rPr>
          <w:rFonts w:ascii="Times New Roman" w:cs="Times New Roman" w:eastAsia="Times New Roman" w:hAnsi="Times New Roman"/>
          <w:sz w:val="14"/>
          <w:szCs w:val="14"/>
          <w:color w:val="auto"/>
        </w:rPr>
      </w:pPr>
    </w:p>
    <w:p>
      <w:pPr>
        <w:ind w:left="500" w:right="20" w:hanging="248"/>
        <w:spacing w:after="0" w:line="262" w:lineRule="auto"/>
        <w:tabs>
          <w:tab w:leader="none" w:pos="4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30,060,910 shares of common stock reserved for future issuance under the 2021 Employee Stock Purchase Plan (the “2021 ESPP”). The number of shares reserved for issuance under the 2021 ESPP automatically increases on January 1 of each year to January 1, 2031 by the least of (i) 9,980,000 shares of common stock, (ii) 1% of the number of shares of common stock outstanding as of the close of business on the immediately preceding December 31 or (iii) the number of shares of common stock as determined by our board of directors (the “Board”);</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45,951,250 shares of common stock reserved for issuance upon conversion of the Company’s Series A Convertible Participating Preferred Stock;</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of common stock issuable upon conversion of our outstanding 4.250% convertible senior notes due 2029;</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of common stock issuable under collared forward transactions;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of common stock that may be issuable in connection with potential future acquisitions, if any.</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Except as otherwise indicated, all information in this prospectus supplement assumes no exercise of outstanding options or conversion of outstanding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1240"/>
          </w:cols>
          <w:pgMar w:left="300" w:top="12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FORWARD TRANSACTIONS</w:t>
      </w:r>
    </w:p>
    <w:p>
      <w:pPr>
        <w:spacing w:after="0" w:line="132" w:lineRule="exact"/>
        <w:rPr>
          <w:sz w:val="20"/>
          <w:szCs w:val="20"/>
          <w:color w:val="auto"/>
        </w:rPr>
      </w:pPr>
    </w:p>
    <w:p>
      <w:pPr>
        <w:ind w:right="60" w:firstLine="249"/>
        <w:spacing w:after="0" w:line="252" w:lineRule="auto"/>
        <w:rPr>
          <w:sz w:val="20"/>
          <w:szCs w:val="20"/>
          <w:color w:val="auto"/>
        </w:rPr>
      </w:pPr>
      <w:r>
        <w:rPr>
          <w:rFonts w:ascii="Times New Roman" w:cs="Times New Roman" w:eastAsia="Times New Roman" w:hAnsi="Times New Roman"/>
          <w:sz w:val="14"/>
          <w:szCs w:val="14"/>
          <w:color w:val="auto"/>
        </w:rPr>
        <w:t>From time to time during the term of the equity distribution agreement and subject to the terms and conditions set forth therein and in the applicable forward sale agreements, we may enter into one or more forward transactions under which we will agree to sell the specified number of shares of our common stock (subject to adjustment as set forth therein) to the relevant forward purchaser. In connection with each forward transaction, the relevant forward purchaser (or its affiliate) will, at our request, subject to terms and conditions of the equity distribution agreement and the relevant forward sale agreement, attempt to borrow from third-party stock lenders and, through the relevant sales agent, acting as a forward seller, sell a number of shares of our common stock equal to the number of shares intended to underlie the forward transaction to hedge the forward transaction. In the event that a forward purchaser (or its affiliate) is unable to borrow and deliver any shares of our common stock for sale by the relevant forward seller under the equity distribution agreement or it would incur a stock loan cost that is equal to or greater than a specified amount, the number of shares underlying the relevant forward transaction will be reduced accordingly (and possibly to zero shares) immediately upon completion of the applicable hedging period. We refer to such number of shares for any forward transaction as the “underlying number of shares.”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Initially Priced Forward Transactions</w:t>
      </w:r>
    </w:p>
    <w:p>
      <w:pPr>
        <w:spacing w:after="0" w:line="132" w:lineRule="exact"/>
        <w:rPr>
          <w:sz w:val="20"/>
          <w:szCs w:val="20"/>
          <w:color w:val="auto"/>
        </w:rPr>
      </w:pPr>
    </w:p>
    <w:p>
      <w:pPr>
        <w:ind w:right="20" w:firstLine="249"/>
        <w:spacing w:after="0" w:line="252" w:lineRule="auto"/>
        <w:rPr>
          <w:sz w:val="20"/>
          <w:szCs w:val="20"/>
          <w:color w:val="auto"/>
        </w:rPr>
      </w:pPr>
      <w:r>
        <w:rPr>
          <w:rFonts w:ascii="Times New Roman" w:cs="Times New Roman" w:eastAsia="Times New Roman" w:hAnsi="Times New Roman"/>
          <w:sz w:val="14"/>
          <w:szCs w:val="14"/>
          <w:color w:val="auto"/>
        </w:rPr>
        <w:t>In an initially priced forward transaction, we may enter into one or more initially priced forward sale agreements with a forward purchaser, pursuant to which we will receive the forward sale price under the forward sale agreement at the settlement of the initially priced forward transaction. The initial forward sale price per share under each initially priced forward transaction will be equal to the product of (1) an amount equal to one minus the applicable forward hedge selling commission rate and (2) the adjusted volume weighted average hedge price per share at which the borrowed shares of our common stock were sold pursuant to the equity distribution agreement by the relevant forward seller to hedge the relevant forward purchaser’s exposure under such initially priced forward transaction. The forward sale price that we expect to receive upon physical settlement of an initially priced forward transaction will be subject to adjustment on a daily basis based on a floating interest rate factor equal to the overnight bank funding rate less a spread and will be decreased on certain dates by amounts related to expected dividends, if any, on shares of our common stock during the term of the applicable initially priced forward sale agreement.</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Settlement</w:t>
      </w:r>
    </w:p>
    <w:p>
      <w:pPr>
        <w:spacing w:after="0" w:line="132" w:lineRule="exact"/>
        <w:rPr>
          <w:sz w:val="20"/>
          <w:szCs w:val="20"/>
          <w:color w:val="auto"/>
        </w:rPr>
      </w:pPr>
    </w:p>
    <w:p>
      <w:pPr>
        <w:ind w:firstLine="249"/>
        <w:spacing w:after="0" w:line="253" w:lineRule="auto"/>
        <w:rPr>
          <w:sz w:val="20"/>
          <w:szCs w:val="20"/>
          <w:color w:val="auto"/>
        </w:rPr>
      </w:pPr>
      <w:r>
        <w:rPr>
          <w:rFonts w:ascii="Times New Roman" w:cs="Times New Roman" w:eastAsia="Times New Roman" w:hAnsi="Times New Roman"/>
          <w:sz w:val="14"/>
          <w:szCs w:val="14"/>
          <w:color w:val="auto"/>
        </w:rPr>
        <w:t>Except under limited circumstances, we have the right to elect physical, cash or net share settlement under any initially priced forward transaction. Although we expect to settle any initially priced forward transaction entirely by delivering shares of our common stock in connection with full physical settlement, we may, subject to certain conditions, elect cash settlement or net share settlement for all or a portion of our obligations under a particular initially priced forward transaction if we conclude that it is in our interest to do so. For example, we may conclude that it is in our interest to cash settle or net share settle a particular initially priced forward transaction if we have no then-current use for all or a portion of the net proceeds that we would receive upon physical settlement. In addition, subject to certain conditions, we may elect to settle all or a portion of the number of shares of our common stock underlying a particular initially priced forward transaction prior to the maturity date of such initially priced forward transaction.</w:t>
      </w:r>
    </w:p>
    <w:p>
      <w:pPr>
        <w:spacing w:after="0" w:line="104" w:lineRule="exact"/>
        <w:rPr>
          <w:sz w:val="20"/>
          <w:szCs w:val="20"/>
          <w:color w:val="auto"/>
        </w:rPr>
      </w:pPr>
    </w:p>
    <w:p>
      <w:pPr>
        <w:ind w:firstLine="249"/>
        <w:spacing w:after="0" w:line="252" w:lineRule="auto"/>
        <w:rPr>
          <w:sz w:val="20"/>
          <w:szCs w:val="20"/>
          <w:color w:val="auto"/>
        </w:rPr>
      </w:pPr>
      <w:r>
        <w:rPr>
          <w:rFonts w:ascii="Times New Roman" w:cs="Times New Roman" w:eastAsia="Times New Roman" w:hAnsi="Times New Roman"/>
          <w:sz w:val="14"/>
          <w:szCs w:val="14"/>
          <w:color w:val="auto"/>
        </w:rPr>
        <w:t>If we elect to physically settle any initially priced forward transaction by issuing and delivering shares of our common stock, we will receive an amount of cash from the relevant forward purchaser equal to the product of the forward sale price per share under that particular initially priced forward transaction and the number of shares of our common stock underlying the particular initially priced forward transaction. In the event we elect to cash settle or net share settle, the settlement amount will be generally related to (1) (a) the weighted average price per share at which the relevant forward purchaser or its affiliate purchases shares of our common stock on each exchange business day during the relevant unwind period for such settlement under that particular initially priced forward transaction minus (b) the applicable forward sale price, as specified under the applicable initially priced forward transaction; multiplied by (2) the number of shares of our common stock underlying the particular initially priced forward transaction subject to such cash settlement or net share settlement. If this settlement amount is a negative number, the relevant forward purchaser will pay us the absolute value of that amount (in the case of cash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1260"/>
          </w:cols>
          <w:pgMar w:left="300" w:top="1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or deliver to us a number of shares of our common stock having a value equal to the absolute value of such amount (in the event of net share settlement). If this settlement amount is a positive number, we will pay the relevant forward purchaser that amount (in the case of cash settlement) or deliver to the relevant forward purchaser a number of shares of our common stock having a value equal to such amount (in the event of net share settlement). In connection with any cash settlement or net share settlement, we would expect the relevant forward purchaser or its affiliate to purchase shares of our common stock in secondary market transactions for delivery to third-party stock lenders in order to close out its, or its affiliate’s, hedge position in respect of that particular initially priced forward transaction. The purchase of shares of our common stock in connection with the relevant forward purchaser or its affiliate unwinding its hedge positions could result in an increase (or a reduction in the amount of any decrease) in the price of our common stock over such time, thereby increasing the amount of cash we owe to the relevant forward purchaser (or decreasing the amount of cash that the relevant forward purchaser owes us) upon cash settlement or increasing the number of shares of our common stock that we are obligated to deliver to the relevant forward purchaser (or decreasing the number of shares of our common stock that the relevant forward purchaser is obligated to deliver to us) upon net share settlement of the particular initially priced forward transaction. See “Risk Factors – Settlement provisions contained in any initially priced forward sale agreement subject us to certain risks.”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Early Termination</w:t>
      </w:r>
    </w:p>
    <w:p>
      <w:pPr>
        <w:spacing w:after="0" w:line="132" w:lineRule="exact"/>
        <w:rPr>
          <w:sz w:val="20"/>
          <w:szCs w:val="20"/>
          <w:color w:val="auto"/>
        </w:rPr>
      </w:pPr>
    </w:p>
    <w:p>
      <w:pPr>
        <w:ind w:right="100" w:firstLine="249"/>
        <w:spacing w:after="0" w:line="278" w:lineRule="auto"/>
        <w:rPr>
          <w:sz w:val="20"/>
          <w:szCs w:val="20"/>
          <w:color w:val="auto"/>
        </w:rPr>
      </w:pPr>
      <w:r>
        <w:rPr>
          <w:rFonts w:ascii="Times New Roman" w:cs="Times New Roman" w:eastAsia="Times New Roman" w:hAnsi="Times New Roman"/>
          <w:sz w:val="14"/>
          <w:szCs w:val="14"/>
          <w:color w:val="auto"/>
        </w:rPr>
        <w:t>Under the initially priced forward sale agreements, the relevant forward purchaser may have the right to elect an early termination date for an initially priced forward transaction (or, in certain cases, the portion thereof that it determines is affected by the relevant event) and require us to physically settle such initially priced forward transaction on a date specified by the forward purchaser if:</w:t>
      </w:r>
    </w:p>
    <w:p>
      <w:pPr>
        <w:spacing w:after="0" w:line="84" w:lineRule="exact"/>
        <w:rPr>
          <w:sz w:val="20"/>
          <w:szCs w:val="20"/>
          <w:color w:val="auto"/>
        </w:rPr>
      </w:pPr>
    </w:p>
    <w:p>
      <w:pPr>
        <w:ind w:left="500" w:right="160" w:hanging="248"/>
        <w:spacing w:after="0" w:line="278"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commercially reasonable judgment of the forward purchaser, it or its affiliate is unable to hedge its exposure under such initially priced forward transaction because insufficient shares of our common stock are made available for borrowing by third-party stock lenders or it or its affiliate would incur a stock borrowing cost in excess of a specified threshold;</w:t>
      </w:r>
    </w:p>
    <w:p>
      <w:pPr>
        <w:spacing w:after="0" w:line="84" w:lineRule="exact"/>
        <w:rPr>
          <w:rFonts w:ascii="Times New Roman" w:cs="Times New Roman" w:eastAsia="Times New Roman" w:hAnsi="Times New Roman"/>
          <w:sz w:val="14"/>
          <w:szCs w:val="14"/>
          <w:color w:val="auto"/>
        </w:rPr>
      </w:pPr>
    </w:p>
    <w:p>
      <w:pPr>
        <w:ind w:left="500" w:hanging="248"/>
        <w:spacing w:after="0" w:line="262"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declare any dividend, issue or distribution on shares of our common stock (i) payable in cash in excess of a specified amount (other than an extraordinary dividend), (ii) that constitutes an extraordinary dividend under the initially priced forward transaction, (iii) payable in securities of another company acquired or owned by us as a result of a spin-off or other similar transaction, or (iv) payable in any other type of securities (other than our common stock), rights, warrants or other assets for payment (cash or other consideration) at less than the prevailing market price;</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ownership thresholds applicable to the forward purchaser and its affiliates are exceeded;</w:t>
      </w:r>
    </w:p>
    <w:p>
      <w:pPr>
        <w:spacing w:after="0" w:line="129" w:lineRule="exact"/>
        <w:rPr>
          <w:rFonts w:ascii="Times New Roman" w:cs="Times New Roman" w:eastAsia="Times New Roman" w:hAnsi="Times New Roman"/>
          <w:sz w:val="14"/>
          <w:szCs w:val="14"/>
          <w:color w:val="auto"/>
        </w:rPr>
      </w:pPr>
    </w:p>
    <w:p>
      <w:pPr>
        <w:ind w:left="500" w:right="100" w:hanging="248"/>
        <w:spacing w:after="0" w:line="278"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is announced that, if consummated, would result in a specified extraordinary event (including, among other things, certain mergers and tender offers, as well as certain events involving our nationalization, a delisting of our common stock or a change in law); or</w:t>
      </w:r>
    </w:p>
    <w:p>
      <w:pPr>
        <w:spacing w:after="0" w:line="84" w:lineRule="exact"/>
        <w:rPr>
          <w:rFonts w:ascii="Times New Roman" w:cs="Times New Roman" w:eastAsia="Times New Roman" w:hAnsi="Times New Roman"/>
          <w:sz w:val="14"/>
          <w:szCs w:val="14"/>
          <w:color w:val="auto"/>
        </w:rPr>
      </w:pPr>
    </w:p>
    <w:p>
      <w:pPr>
        <w:ind w:left="500" w:right="60" w:hanging="248"/>
        <w:spacing w:after="0" w:line="262" w:lineRule="auto"/>
        <w:tabs>
          <w:tab w:leader="none" w:pos="4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default or termination events occur, including, among other things, any material misrepresentation made by us in connection with our entry into the initially priced forward transaction, our bankruptcy or the occurrence of an event or circumstance causing certain payments or deliveries under, or material compliance with, the initially priced forward transaction to be unlawful (each as more fully described in the applicable forward sale agreement).</w:t>
      </w:r>
    </w:p>
    <w:p>
      <w:pPr>
        <w:spacing w:after="0" w:line="96" w:lineRule="exact"/>
        <w:rPr>
          <w:sz w:val="20"/>
          <w:szCs w:val="20"/>
          <w:color w:val="auto"/>
        </w:rPr>
      </w:pPr>
    </w:p>
    <w:p>
      <w:pPr>
        <w:ind w:right="60" w:firstLine="249"/>
        <w:spacing w:after="0" w:line="174" w:lineRule="exact"/>
        <w:rPr>
          <w:sz w:val="20"/>
          <w:szCs w:val="20"/>
          <w:color w:val="auto"/>
        </w:rPr>
      </w:pPr>
      <w:r>
        <w:rPr>
          <w:rFonts w:ascii="Times New Roman" w:cs="Times New Roman" w:eastAsia="Times New Roman" w:hAnsi="Times New Roman"/>
          <w:sz w:val="14"/>
          <w:szCs w:val="14"/>
          <w:color w:val="auto"/>
        </w:rPr>
        <w:t>A forward purchaser’s decision to exercise its right to elect an early termination date and cause the early settlement of any initially priced forward transaction (or, in certain cases, the portion thereof that it determines is affected by the relevant event) will be made irrespective of our interests, including our need for capital. In such cases, we could be required to issue and deliver shares of our common stock under the physical settlement provisions of that particular initially priced forward transaction irrespective of our capital needs, which would result in dilution to our earnings per share and return on equity. In addition, upon certain insolvency filings relating to us, the particular initially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priced forward sale agreement will terminate without further liability of either party. Following any such termination, we would not issue any shares of our common stock or receive any proceeds pursuant to such initially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priced forward sale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Collared Forward Transactions</w:t>
      </w:r>
    </w:p>
    <w:p>
      <w:pPr>
        <w:spacing w:after="0" w:line="132" w:lineRule="exact"/>
        <w:rPr>
          <w:sz w:val="20"/>
          <w:szCs w:val="20"/>
          <w:color w:val="auto"/>
        </w:rPr>
      </w:pPr>
    </w:p>
    <w:p>
      <w:pPr>
        <w:ind w:firstLine="249"/>
        <w:spacing w:after="0" w:line="252" w:lineRule="auto"/>
        <w:rPr>
          <w:sz w:val="20"/>
          <w:szCs w:val="20"/>
          <w:color w:val="auto"/>
        </w:rPr>
      </w:pPr>
      <w:r>
        <w:rPr>
          <w:rFonts w:ascii="Times New Roman" w:cs="Times New Roman" w:eastAsia="Times New Roman" w:hAnsi="Times New Roman"/>
          <w:sz w:val="14"/>
          <w:szCs w:val="14"/>
          <w:color w:val="auto"/>
        </w:rPr>
        <w:t>In addition, in a collared forward transaction, we may enter into one or more collared forward sale agreements with Goldman Sachs &amp; Co. LLC or Morgan Stanley &amp; Co. LLC, each as the collared forward purchaser, pursuant to which we will agree to sell to the relevant collared forward purchaser up to the number of shares of our common stock specified in the collared forward sale agreement (subject to adjustment as set forth therein) and the relevant collared forward purchaser will borrow from third-party stock lenders and sell the maximum number of shares of our common stock deliverable pursuant to the collared forward transaction (the “hedging shares”) through the related sales agent as the collared forward seller over an initial hedging period to be agreed between us and the relevant collared forward purchaser, all subject to the terms of the equity distribution agreement and the collared forward sale agreement. We have been advised by each collared forward purchaser that it expects that, on the same days during the initial hedging period when the relevant collared forward seller is selling a number of hedging shares underlying the collared forward transaction, the relevant collared forward purchaser or its affiliates or agents will be contemporaneously purchasing a substantial portion of such number of shares in the open market for its own account, as each collared forward purchaser expects its initial hedge position in respect of the collared forward transaction to be less than the maximum number of shares underlying the collared forward transaction.</w:t>
      </w:r>
    </w:p>
    <w:p>
      <w:pPr>
        <w:spacing w:after="0" w:line="102" w:lineRule="exact"/>
        <w:rPr>
          <w:sz w:val="20"/>
          <w:szCs w:val="20"/>
          <w:color w:val="auto"/>
        </w:rPr>
      </w:pPr>
    </w:p>
    <w:p>
      <w:pPr>
        <w:ind w:right="80" w:firstLine="249"/>
        <w:spacing w:after="0" w:line="262" w:lineRule="auto"/>
        <w:rPr>
          <w:sz w:val="20"/>
          <w:szCs w:val="20"/>
          <w:color w:val="auto"/>
        </w:rPr>
      </w:pPr>
      <w:r>
        <w:rPr>
          <w:rFonts w:ascii="Times New Roman" w:cs="Times New Roman" w:eastAsia="Times New Roman" w:hAnsi="Times New Roman"/>
          <w:sz w:val="14"/>
          <w:szCs w:val="14"/>
          <w:color w:val="auto"/>
        </w:rPr>
        <w:t>In the event that the relevant collared forward purchaser is unable to borrow from third-party stock lenders and sell the maximum number of shares underlying a collared forward transaction into the public market during the applicable initial hedging period (including as a result of the prospectus being unavailable at any time during such initial hedging period), the number of shares underlying the collared forward transaction will be reduced accordingly immediately upon completion of such initial hedging period. We refer to such number of shares as the “underlying number of shares.”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Collared Forward Sale Price</w:t>
      </w:r>
    </w:p>
    <w:p>
      <w:pPr>
        <w:spacing w:after="0" w:line="132" w:lineRule="exact"/>
        <w:rPr>
          <w:sz w:val="20"/>
          <w:szCs w:val="20"/>
          <w:color w:val="auto"/>
        </w:rPr>
      </w:pPr>
    </w:p>
    <w:p>
      <w:pPr>
        <w:ind w:right="40" w:firstLine="249"/>
        <w:spacing w:after="0" w:line="252" w:lineRule="auto"/>
        <w:rPr>
          <w:sz w:val="20"/>
          <w:szCs w:val="20"/>
          <w:color w:val="auto"/>
        </w:rPr>
      </w:pPr>
      <w:r>
        <w:rPr>
          <w:rFonts w:ascii="Times New Roman" w:cs="Times New Roman" w:eastAsia="Times New Roman" w:hAnsi="Times New Roman"/>
          <w:sz w:val="14"/>
          <w:szCs w:val="14"/>
          <w:color w:val="auto"/>
        </w:rPr>
        <w:t>The floor price and the cap price of each collared forward transaction will be determined upon completion of the initial hedging period for such collared forward transaction by multiplying the hedge reference price by the floor percentage and the cap percentage specified in the collared forward sale agreement, respectively. Each collared forward transaction will consist of a number of components equal to the number of Exchange Business Days (as defined in the relevant collared forward sale agreement) during the initial hedging period, each of which such components will correspond to a single Exchange Business Day during the initial hedging period and each of which with its own floor price and cap price. The collared forward sale price that we will receive with respect to any component under any collared forward transaction for each share of our common stock deliverable thereunder will be equal to an amount determined based on the settlement reference price on the applicable valuation date for such component, provided that the collared forward sale price will not be less than the floor price for such component and will not be more than the cap price for such component, subject to adjustment under the terms of the collared forward sale agreement.</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Maturity</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will set the scheduled maturity of a collared forward transaction at the time we enter into the collared forward transaction based, among other factors, upon the market conditions at the time.</w:t>
      </w:r>
    </w:p>
    <w:p>
      <w:pPr>
        <w:spacing w:after="0" w:line="130" w:lineRule="exact"/>
        <w:rPr>
          <w:sz w:val="20"/>
          <w:szCs w:val="20"/>
          <w:color w:val="auto"/>
        </w:rPr>
      </w:pPr>
    </w:p>
    <w:p>
      <w:pPr>
        <w:ind w:right="100" w:firstLine="249"/>
        <w:spacing w:after="0" w:line="253" w:lineRule="auto"/>
        <w:rPr>
          <w:sz w:val="20"/>
          <w:szCs w:val="20"/>
          <w:color w:val="auto"/>
        </w:rPr>
      </w:pPr>
      <w:r>
        <w:rPr>
          <w:rFonts w:ascii="Times New Roman" w:cs="Times New Roman" w:eastAsia="Times New Roman" w:hAnsi="Times New Roman"/>
          <w:sz w:val="14"/>
          <w:szCs w:val="14"/>
          <w:color w:val="auto"/>
        </w:rPr>
        <w:t>We may not terminate any collared forward transaction early. The relevant collared forward purchaser may terminate a collared forward transaction early upon the occurrence of certain disruption events, extraordinary events, announcements related to us, events of default and termination events to be specified in the collared forward sale agreement, including, among other things, any material misrepresentation made by us in connection with entering into the collared forward transaction, the declaration or distribution by us of a dividend in certain circumstances during the term of the collared forward transaction, or a market disruption event during a specified period that lasts for more than nine consecutive scheduled trading days (in each case, as determined pursuant to the terms of the collared forward sale agreement). Upon any such termination, the applicable payment and delivery terms of the collared forward transaction will be determined in such a manner as to preserve the fair value of the collared forward transaction. The collared forward sale agreement will provide for customary anti-dilution and other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1260"/>
          </w:cols>
          <w:pgMar w:left="300" w:top="1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Prepayment and Settlement</w:t>
      </w:r>
    </w:p>
    <w:p>
      <w:pPr>
        <w:spacing w:after="0" w:line="132" w:lineRule="exact"/>
        <w:rPr>
          <w:sz w:val="20"/>
          <w:szCs w:val="20"/>
          <w:color w:val="auto"/>
        </w:rPr>
      </w:pPr>
    </w:p>
    <w:p>
      <w:pPr>
        <w:ind w:right="20" w:firstLine="249"/>
        <w:spacing w:after="0" w:line="250" w:lineRule="auto"/>
        <w:rPr>
          <w:sz w:val="20"/>
          <w:szCs w:val="20"/>
          <w:color w:val="auto"/>
        </w:rPr>
      </w:pPr>
      <w:r>
        <w:rPr>
          <w:rFonts w:ascii="Times New Roman" w:cs="Times New Roman" w:eastAsia="Times New Roman" w:hAnsi="Times New Roman"/>
          <w:sz w:val="14"/>
          <w:szCs w:val="14"/>
          <w:color w:val="auto"/>
        </w:rPr>
        <w:t>On each component prepayment date of a collared forward transaction, the relevant collared forward purchaser will, upon our request, prepay to us an amount equal to (A) the present value of the product of the (x) number of shares underlying such component and (y) floor price for such component minus (B) the product of the (x) number of shares underlying such component, (y) collared forward selling commission and (z) hedge reference price, and we will issue and pledge the maximum number of shares underlying such component. If a component prepayment date with respect to such component previously occurred, the relevant collared forward purchaser will pay to us an amount of cash equal to the product of (x) the number of shares underlying such component and (y) the excess of the collared forward sale price for such component over the floor price for such component and if a component prepayment date with respect to such component has not occurred, the relevant collared forward purchaser will pay to us an amount equal to (A) the product of the (x) number of shares underlying such component and (y) the collared forward sale price for such component minus (B) the product of the (x) number of shares underlying such component of the relevant collared forward transaction, (y) Forward Hedge Selling Commission Rate and (z) hedge reference price. On each component prepayment date, we will be required to issue and pledge to the relevant collared forward purchaser the maximum number of shares underlying such component. However, we will, subject to certain conditions specified in the collared forward sale agreement, have the right to elect to receive a portion of the settlement amount corresponding to the excess of the collared forward sale price over the floor price in the form of our common stock, instead of cash, with the number of shares to be calculated based on the settlement reference price on the applicable valuation date for such component, in which case we expect our obligation to deliver shares of our common stock to the relevant collared forward purchaser at such maturity will be reduced by such amount.</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Termination</w:t>
      </w:r>
    </w:p>
    <w:p>
      <w:pPr>
        <w:spacing w:after="0" w:line="132" w:lineRule="exact"/>
        <w:rPr>
          <w:sz w:val="20"/>
          <w:szCs w:val="20"/>
          <w:color w:val="auto"/>
        </w:rPr>
      </w:pPr>
    </w:p>
    <w:p>
      <w:pPr>
        <w:ind w:right="80" w:firstLine="249"/>
        <w:spacing w:after="0" w:line="262" w:lineRule="auto"/>
        <w:rPr>
          <w:sz w:val="20"/>
          <w:szCs w:val="20"/>
          <w:color w:val="auto"/>
        </w:rPr>
      </w:pPr>
      <w:r>
        <w:rPr>
          <w:rFonts w:ascii="Times New Roman" w:cs="Times New Roman" w:eastAsia="Times New Roman" w:hAnsi="Times New Roman"/>
          <w:sz w:val="14"/>
          <w:szCs w:val="14"/>
          <w:color w:val="auto"/>
        </w:rPr>
        <w:t>Although we may settle a collared forward transaction only on the scheduled maturity dates thereof and may not terminate any collared forward transaction early, the relevant collared forward purchaser may terminate a collared forward transaction early upon the occurrence of certain events to be specified in the collared forward sale agreement for such collared forward transaction, including, among other things:</w:t>
      </w:r>
    </w:p>
    <w:p>
      <w:pPr>
        <w:spacing w:after="0" w:line="96" w:lineRule="exact"/>
        <w:rPr>
          <w:sz w:val="20"/>
          <w:szCs w:val="20"/>
          <w:color w:val="auto"/>
        </w:rPr>
      </w:pPr>
    </w:p>
    <w:p>
      <w:pPr>
        <w:ind w:left="500" w:hanging="248"/>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mergers, certain events involving our nationalization or insolvency, a delisting of shares of our common stock and a change in law;</w:t>
      </w:r>
    </w:p>
    <w:p>
      <w:pPr>
        <w:spacing w:after="0" w:line="129" w:lineRule="exact"/>
        <w:rPr>
          <w:rFonts w:ascii="Times New Roman" w:cs="Times New Roman" w:eastAsia="Times New Roman" w:hAnsi="Times New Roman"/>
          <w:sz w:val="14"/>
          <w:szCs w:val="14"/>
          <w:color w:val="auto"/>
        </w:rPr>
      </w:pPr>
    </w:p>
    <w:p>
      <w:pPr>
        <w:ind w:left="500" w:right="500" w:hanging="248"/>
        <w:spacing w:after="0" w:line="278" w:lineRule="auto"/>
        <w:tabs>
          <w:tab w:leader="none" w:pos="4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collared forward purchaser or its affiliate (i) after using commercially reasonable efforts, is unable to hedge its exposure under such collared forward transaction or (ii) under certain circumstances, would incur a materially increased cost to hedge such exposure;</w:t>
      </w:r>
    </w:p>
    <w:p>
      <w:pPr>
        <w:spacing w:after="0" w:line="84" w:lineRule="exact"/>
        <w:rPr>
          <w:rFonts w:ascii="Times New Roman" w:cs="Times New Roman" w:eastAsia="Times New Roman" w:hAnsi="Times New Roman"/>
          <w:sz w:val="14"/>
          <w:szCs w:val="14"/>
          <w:color w:val="auto"/>
        </w:rPr>
      </w:pPr>
    </w:p>
    <w:p>
      <w:pPr>
        <w:ind w:left="500" w:right="140" w:hanging="248"/>
        <w:spacing w:after="0" w:line="262" w:lineRule="auto"/>
        <w:tabs>
          <w:tab w:leader="none" w:pos="4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default or termination events, including any material misrepresentation made by us in connection with entering into such collared forward transaction, our bankruptcy or the occurrence of an event or circumstance causing certain payments or deliveries under, or material compliance with, such collared forward transaction to be unlawful (each as more fully set forth in the applicable forward sale agreement); or</w:t>
      </w:r>
    </w:p>
    <w:p>
      <w:pPr>
        <w:spacing w:after="0" w:line="96" w:lineRule="exact"/>
        <w:rPr>
          <w:rFonts w:ascii="Times New Roman" w:cs="Times New Roman" w:eastAsia="Times New Roman" w:hAnsi="Times New Roman"/>
          <w:sz w:val="14"/>
          <w:szCs w:val="14"/>
          <w:color w:val="auto"/>
        </w:rPr>
      </w:pPr>
    </w:p>
    <w:p>
      <w:pPr>
        <w:ind w:left="500" w:right="460" w:hanging="248"/>
        <w:spacing w:after="0" w:line="278" w:lineRule="auto"/>
        <w:tabs>
          <w:tab w:leader="none" w:pos="49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market disruption event during a specified valuation period which lasts for more than nine consecutive scheduled trading days (in each case, as determined pursuant to the terms of such collared forward transaction).</w:t>
      </w:r>
    </w:p>
    <w:p>
      <w:pPr>
        <w:spacing w:after="0" w:line="84" w:lineRule="exact"/>
        <w:rPr>
          <w:sz w:val="20"/>
          <w:szCs w:val="20"/>
          <w:color w:val="auto"/>
        </w:rPr>
      </w:pPr>
    </w:p>
    <w:p>
      <w:pPr>
        <w:ind w:firstLine="249"/>
        <w:spacing w:after="0" w:line="253" w:lineRule="auto"/>
        <w:rPr>
          <w:sz w:val="20"/>
          <w:szCs w:val="20"/>
          <w:color w:val="auto"/>
        </w:rPr>
      </w:pPr>
      <w:r>
        <w:rPr>
          <w:rFonts w:ascii="Times New Roman" w:cs="Times New Roman" w:eastAsia="Times New Roman" w:hAnsi="Times New Roman"/>
          <w:sz w:val="14"/>
          <w:szCs w:val="14"/>
          <w:color w:val="auto"/>
        </w:rPr>
        <w:t>Upon such a termination in the case of the first three events specified above, such collared forward purchaser will determine, in good faith and in a commercially reasonable manner, the amount of the losses or costs that it will incur or the amount of the gains that it will realize under the circumstances in replacing or providing for itself the economic equivalent of (i) the material terms of the relevant collared forward transaction, including the payments and deliveries by the parties thereunder that would, but for the event leading to such termination, have been required on or after the date that the collared forward transaction was terminated and (ii) the rights and obligations of the parties in respect of the collared forward transaction. Upon termination of a collared forward transaction as a result of dividends or distributions on shares of our common stock which differ from expected dividends as of the trade date of a collared forward transaction or as a result of a market disruption event during the valuation period for a collared forward transaction which lasts for more than nine consecutive scheduled trading days, however,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4"/>
          <w:szCs w:val="14"/>
          <w:color w:val="auto"/>
        </w:rPr>
        <w:t>collared forward purchaser will determine, in good faith and in a commercially reasonable manner, the amount of its total losses, costs and gains under such collared forward transaction, including those resulting from any loss of bargain, cost of funding or, without duplication, loss, cost or gain from terminating, liquidating, obtaining or reestablishing any hedge or related trading position. In either case, we will be required to pay to such collared forward purchaser any amount of such losses or costs and will be entitled to receive from it any amount of such gains remaining after netting all such amounts against each other.</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Clear Market</w:t>
      </w:r>
    </w:p>
    <w:p>
      <w:pPr>
        <w:spacing w:after="0" w:line="132" w:lineRule="exact"/>
        <w:rPr>
          <w:sz w:val="20"/>
          <w:szCs w:val="20"/>
          <w:color w:val="auto"/>
        </w:rPr>
      </w:pPr>
    </w:p>
    <w:p>
      <w:pPr>
        <w:ind w:firstLine="249"/>
        <w:spacing w:after="0" w:line="270" w:lineRule="auto"/>
        <w:rPr>
          <w:sz w:val="20"/>
          <w:szCs w:val="20"/>
          <w:color w:val="auto"/>
        </w:rPr>
      </w:pPr>
      <w:r>
        <w:rPr>
          <w:rFonts w:ascii="Times New Roman" w:cs="Times New Roman" w:eastAsia="Times New Roman" w:hAnsi="Times New Roman"/>
          <w:sz w:val="13"/>
          <w:szCs w:val="13"/>
          <w:color w:val="auto"/>
        </w:rPr>
        <w:t>If we enter into a collared forward transaction, we will agree in the collared forward sale agreement that during the applicable hedge period and on any valuation date for such collared forward transaction, we will not, without the prior consent of the relevant collared forward purchaser, issue or sell (nor enter into a similar direct or indirect disposition transaction, within the meaning of the applicable collared forward sale agreement) any shares of our common stock or securities convertible into shares of our common stock, nor will we enter into any derivatives referencing such shares, with exceptions for (i) any debt-for-equity exchanges; (ii) any equity incentive plan, stock ownership plan or dividend reinvestment plan in effect when we enter into such collared forward transaction; (iii) any underwritten offering of shares of our common stock, private placement of shares of our common stock (or other securities convertible or exchangeable into shares of our common stock) and other privately negotiated “block” trade or follow-on offering of shares of our common stock, in each case, with or through the person acting as forward seller for the relevant collared forward purchaser; and</w:t>
      </w:r>
    </w:p>
    <w:p>
      <w:pPr>
        <w:spacing w:after="0" w:line="3" w:lineRule="exact"/>
        <w:rPr>
          <w:sz w:val="20"/>
          <w:szCs w:val="20"/>
          <w:color w:val="auto"/>
        </w:rPr>
      </w:pPr>
    </w:p>
    <w:p>
      <w:pPr>
        <w:ind w:right="40" w:firstLine="3"/>
        <w:spacing w:after="0" w:line="248" w:lineRule="auto"/>
        <w:tabs>
          <w:tab w:leader="none" w:pos="23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or through the person acting as forward seller for the relevant forward collared forward purchaser, any customary “at-the-market” forward sale transactions that are not subject to a cap or floor price or customary “at-the-market” offering of shares of our common stock on an agency basis on our behalf made by means of ordinary brokers’ transactions on or through the Nasdaq or another market for our shares of common stock, provided that on any valuation date for any collared forward transaction, we may enter into or execute any issuance and sale of shares of common stock pursuant to any employee stock option plan, stock ownership plan or dividend reinvestment plan in effect on the trade date of such collared forward transaction. During the term of any collared forward transaction, we will not, without the prior written consent of the relevant collared forward purchaser, enter into any derivatives transactions referencing the shares of our common stock other than certain other collared forward transactions, customary “at-the-market”, “block” or “underwritten” forward sale transactions that are not subject to a cap or floor price, privately negotiated share repurchase transactions or customary “convertible bond hedge” transactions entered into in connection with the issuance of customary convertible or exchangeable securities, including customary “capped call” transactions or “warrant transactions” related to any such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1260"/>
          </w:cols>
          <w:pgMar w:left="300" w:top="1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PLAN OF DISTRIBUTION (CONFLICTS OF INTEREST)</w:t>
      </w:r>
    </w:p>
    <w:p>
      <w:pPr>
        <w:spacing w:after="0" w:line="132" w:lineRule="exact"/>
        <w:rPr>
          <w:sz w:val="20"/>
          <w:szCs w:val="20"/>
          <w:color w:val="auto"/>
        </w:rPr>
      </w:pPr>
    </w:p>
    <w:p>
      <w:pPr>
        <w:ind w:firstLine="249"/>
        <w:spacing w:after="0" w:line="273" w:lineRule="auto"/>
        <w:rPr>
          <w:sz w:val="20"/>
          <w:szCs w:val="20"/>
          <w:color w:val="auto"/>
        </w:rPr>
      </w:pPr>
      <w:r>
        <w:rPr>
          <w:rFonts w:ascii="Times New Roman" w:cs="Times New Roman" w:eastAsia="Times New Roman" w:hAnsi="Times New Roman"/>
          <w:sz w:val="13"/>
          <w:szCs w:val="13"/>
          <w:color w:val="auto"/>
        </w:rPr>
        <w:t>We have entered into an equity distribution agreement with (1) BofA Securities, Inc., BTIG, LLC, Cantor Fitzgerald &amp; Co., Citizens JMP Securities, LLC, Craig-Hallum Capital Group LLC, Deutsche Bank Securities Inc., Goldman Sachs &amp; Co. LLC, KeyBanc Capital Markets Inc., Morgan Stanley &amp; Co. LLC, Needham &amp; Company, LLC, Robert W. Baird &amp; Co. Incorporated, Roth Capital Partners, LLC, Stifel, Nicolaus &amp; Company, Incorporated, TD Securities (USA) LLC and Wells Fargo Securities, LLC, as sales agents and/or principals, (2) the forward sellers and (3) the forward purchasers. Each of the sales agents, when acting as the agent for a forward purchaser, is referred to in this prospectus supplement as a “forward seller,” except in the case of BTIG, LLC, for which references to the forward seller refers instead to Nomura Securities International, Inc. (acting through BTIG, LLC as agent). Under the equity distribution agreement, we may offer and sell over time and from time to time shares of our common stock having an aggregate gross sales price of up to $3,000,000,000. Further, the equity distribution agreement provides that, in addition to the issuance and sale of shares of our common stock through the sales agents acting as sales agents or directly to the sales agents acting as principals, we may request that the forward sellers use commercially reasonable efforts to sell, from time to time, shares of our common stock borrowed by the relevant forward purchaser (or its affiliate) in connection with one or more forward sale agreements as described below. In no event will the aggregate gross sales price of sales of shares of our common stock sold through the sales agents, whether as agents for us or as principals, or as forward sellers, exceed $3,000,000,000.</w:t>
      </w:r>
    </w:p>
    <w:p>
      <w:pPr>
        <w:spacing w:after="0" w:line="90" w:lineRule="exact"/>
        <w:rPr>
          <w:sz w:val="20"/>
          <w:szCs w:val="20"/>
          <w:color w:val="auto"/>
        </w:rPr>
      </w:pPr>
    </w:p>
    <w:p>
      <w:pPr>
        <w:ind w:right="420" w:firstLine="249"/>
        <w:spacing w:after="0" w:line="278" w:lineRule="auto"/>
        <w:rPr>
          <w:sz w:val="20"/>
          <w:szCs w:val="20"/>
          <w:color w:val="auto"/>
        </w:rPr>
      </w:pPr>
      <w:r>
        <w:rPr>
          <w:rFonts w:ascii="Times New Roman" w:cs="Times New Roman" w:eastAsia="Times New Roman" w:hAnsi="Times New Roman"/>
          <w:sz w:val="14"/>
          <w:szCs w:val="14"/>
          <w:color w:val="auto"/>
        </w:rPr>
        <w:t>The shares of our common stock offered hereby may be sold in “at the market” offerings, including on Nasdaq or otherwise, at market prices prevailing at the time of sale, at prices related to prevailing market prices or at negotiated prices.</w:t>
      </w:r>
    </w:p>
    <w:p>
      <w:pPr>
        <w:spacing w:after="0" w:line="84" w:lineRule="exact"/>
        <w:rPr>
          <w:sz w:val="20"/>
          <w:szCs w:val="20"/>
          <w:color w:val="auto"/>
        </w:rPr>
      </w:pPr>
    </w:p>
    <w:p>
      <w:pPr>
        <w:ind w:right="40" w:firstLine="249"/>
        <w:spacing w:after="0" w:line="278" w:lineRule="auto"/>
        <w:rPr>
          <w:sz w:val="20"/>
          <w:szCs w:val="20"/>
          <w:color w:val="auto"/>
        </w:rPr>
      </w:pPr>
      <w:r>
        <w:rPr>
          <w:rFonts w:ascii="Times New Roman" w:cs="Times New Roman" w:eastAsia="Times New Roman" w:hAnsi="Times New Roman"/>
          <w:sz w:val="14"/>
          <w:szCs w:val="14"/>
          <w:color w:val="auto"/>
        </w:rPr>
        <w:t>In addition, if agreed by us and the relevant sales agent and/or the relevant forward seller, acting as agents for the relevant forward purchaser, some or all of the shares of our common stock covered by this prospectus supplement may be sold through any method permitted by law, including but not limited to:</w:t>
      </w:r>
    </w:p>
    <w:p>
      <w:pPr>
        <w:spacing w:after="0" w:line="84" w:lineRule="exact"/>
        <w:rPr>
          <w:sz w:val="20"/>
          <w:szCs w:val="20"/>
          <w:color w:val="auto"/>
        </w:rPr>
      </w:pPr>
    </w:p>
    <w:p>
      <w:pPr>
        <w:ind w:left="500" w:hanging="248"/>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means of ordinary brokers’ transactions (whether or not solicited);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a market maker;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on or through any national securities exchange or facility thereof, a trading facility of a national securities association, an alternative trading system or any other market venue;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 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such methods.</w:t>
      </w:r>
    </w:p>
    <w:p>
      <w:pPr>
        <w:spacing w:after="0" w:line="130" w:lineRule="exact"/>
        <w:rPr>
          <w:sz w:val="20"/>
          <w:szCs w:val="20"/>
          <w:color w:val="auto"/>
        </w:rPr>
      </w:pPr>
    </w:p>
    <w:p>
      <w:pPr>
        <w:jc w:val="both"/>
        <w:ind w:right="60" w:firstLine="249"/>
        <w:spacing w:after="0" w:line="257" w:lineRule="auto"/>
        <w:rPr>
          <w:sz w:val="20"/>
          <w:szCs w:val="20"/>
          <w:color w:val="auto"/>
        </w:rPr>
      </w:pPr>
      <w:r>
        <w:rPr>
          <w:rFonts w:ascii="Times New Roman" w:cs="Times New Roman" w:eastAsia="Times New Roman" w:hAnsi="Times New Roman"/>
          <w:sz w:val="14"/>
          <w:szCs w:val="14"/>
          <w:color w:val="auto"/>
        </w:rPr>
        <w:t>Under the terms of the equity distribution agreement, we may sell shares to one or more of the sales agents as principals for their own accounts or for accounts of their customers at a price agreed upon at the time of sale. A sales agent may offer the shares of our common stock sold to it as principal from time to time through public or private transactions at market prices prevailing at the time of sale, at fixed prices, at negotiated prices, at various prices determined at the time of sale or at prices related to prevailing market prices. If we sell shares to a sales agent as principal, we will enter into a separate terms agreement with the sales agent and that agreement will be described in a separate prospectus supplement.</w:t>
      </w:r>
    </w:p>
    <w:p>
      <w:pPr>
        <w:spacing w:after="0" w:line="100" w:lineRule="exact"/>
        <w:rPr>
          <w:sz w:val="20"/>
          <w:szCs w:val="20"/>
          <w:color w:val="auto"/>
        </w:rPr>
      </w:pPr>
    </w:p>
    <w:p>
      <w:pPr>
        <w:ind w:right="240" w:firstLine="249"/>
        <w:spacing w:after="0" w:line="257" w:lineRule="auto"/>
        <w:rPr>
          <w:sz w:val="20"/>
          <w:szCs w:val="20"/>
          <w:color w:val="auto"/>
        </w:rPr>
      </w:pPr>
      <w:r>
        <w:rPr>
          <w:rFonts w:ascii="Times New Roman" w:cs="Times New Roman" w:eastAsia="Times New Roman" w:hAnsi="Times New Roman"/>
          <w:sz w:val="14"/>
          <w:szCs w:val="14"/>
          <w:color w:val="auto"/>
        </w:rPr>
        <w:t>The sales agents will not engage in any transactions that stabilize the price of our common stock. If we or any of the sales agents have reason to believe that our common stock is no longer an “actively-traded security” as defined under Rule 101(c)(1) of Regulation M under the Exchange Act, that party will promptly notify the others, and sales of our common stock pursuant to the equity distribution agreement, any terms agreement or any forward sale agreement will be suspended until in the reasonable judgment of the parties Rule 101(c)(1) or another exemptive provision has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1180"/>
          </w:cols>
          <w:pgMar w:left="300" w:top="125"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20" w:firstLine="249"/>
        <w:spacing w:after="0" w:line="278" w:lineRule="auto"/>
        <w:rPr>
          <w:sz w:val="20"/>
          <w:szCs w:val="20"/>
          <w:color w:val="auto"/>
        </w:rPr>
      </w:pPr>
      <w:r>
        <w:rPr>
          <w:rFonts w:ascii="Times New Roman" w:cs="Times New Roman" w:eastAsia="Times New Roman" w:hAnsi="Times New Roman"/>
          <w:sz w:val="14"/>
          <w:szCs w:val="14"/>
          <w:color w:val="auto"/>
        </w:rPr>
        <w:t>We estimate that total expenses of the offering payable by us, excluding discounts and commissions payable to the sales agents, forward sellers and forward purchasers under the equity distribution agreement, will be approximately $0.6 million.</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agreed to reimburse the sales agents, the forward sellers and the forward purchasers for their reasonable and documented out-of-pocket expenses, including the reasonable fees,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disbursements and expenses of counsel for the sales agents, the forward sellers and the forward purchasers payable upon execution of the equity distribution agreement in an amount not to exceed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$175,000, as well as ongoing disbursements of counsel for the sales agents, the forward sellers and the forward purchasers payable in the amount of up to $25,000 in connection with the transactions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contemplated under the equity distribution agreement.</w:t>
      </w:r>
    </w:p>
    <w:p>
      <w:pPr>
        <w:spacing w:after="0" w:line="115" w:lineRule="exact"/>
        <w:rPr>
          <w:sz w:val="20"/>
          <w:szCs w:val="20"/>
          <w:color w:val="auto"/>
        </w:rPr>
      </w:pPr>
    </w:p>
    <w:p>
      <w:pPr>
        <w:ind w:right="100" w:firstLine="249"/>
        <w:spacing w:after="0" w:line="262" w:lineRule="auto"/>
        <w:rPr>
          <w:sz w:val="20"/>
          <w:szCs w:val="20"/>
          <w:color w:val="auto"/>
        </w:rPr>
      </w:pPr>
      <w:r>
        <w:rPr>
          <w:rFonts w:ascii="Times New Roman" w:cs="Times New Roman" w:eastAsia="Times New Roman" w:hAnsi="Times New Roman"/>
          <w:sz w:val="14"/>
          <w:szCs w:val="14"/>
          <w:color w:val="auto"/>
        </w:rPr>
        <w:t>The offering of our common stock pursuant to the equity distribution agreement will terminate upon the earlier of (1) the sale of all the shares of our common stock subject to the equity distribution agreement and (2) the termination of the equity distribution agreement, pursuant to its terms, by either us or, with respect to any sales agent, that sales agent, at any time in the respective party’s sole discretion.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Through Sales Agents</w:t>
      </w:r>
    </w:p>
    <w:p>
      <w:pPr>
        <w:spacing w:after="0" w:line="132" w:lineRule="exact"/>
        <w:rPr>
          <w:sz w:val="20"/>
          <w:szCs w:val="20"/>
          <w:color w:val="auto"/>
        </w:rPr>
      </w:pPr>
    </w:p>
    <w:p>
      <w:pPr>
        <w:ind w:firstLine="249"/>
        <w:spacing w:after="0" w:line="274" w:lineRule="auto"/>
        <w:rPr>
          <w:sz w:val="20"/>
          <w:szCs w:val="20"/>
          <w:color w:val="auto"/>
        </w:rPr>
      </w:pPr>
      <w:r>
        <w:rPr>
          <w:rFonts w:ascii="Times New Roman" w:cs="Times New Roman" w:eastAsia="Times New Roman" w:hAnsi="Times New Roman"/>
          <w:sz w:val="13"/>
          <w:szCs w:val="13"/>
          <w:color w:val="auto"/>
        </w:rPr>
        <w:t>Subject to the terms and conditions of the equity distribution agreement, the relevant sales agent will use its commercially reasonable efforts to sell, consistent with its normal trading and sales practices, as our sales agent and on our behalf, all of the designated shares of our common stock on any trading day or as otherwise agreed upon by us and the sales agent. From time to time, we will submit orders to a sales agent relating to the shares of our common stock to be sold through the sales agent, which orders may specify any price, time or size limitations relating to any particular sale. We will submit orders to only one sales agent relating to the sales of shares of our common stock on any given day. We may instruct any sales agent not to sell shares of our common stock if the sales cannot be effected at or above a price designated by us in any such instruction. We or any sales agent may suspend the offering of shares of our common stock by notifying the other party. Settlement for sales of our common stock will occur, unless we and the relevant sales agent agree otherwise, on the first trading day following the date on which any sales were made, or such earlier day as required by SEC rule or industry practice, against payment to us. There is no arrangement for funds to be received in an escrow, trust or similar arrangement. The obligation of any sales agent under the equity distribution agreement to sell shares of our common stock pursuant to our instructions is subject to a number of conditions, which each sales agent reserves the right to waive in its sole discretion.</w:t>
      </w:r>
    </w:p>
    <w:p>
      <w:pPr>
        <w:spacing w:after="0" w:line="89"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Each sales agent will receive from us a commission not to exceed 2.0% of the gross sales price per share of our common stock for any shares sold through it as our sales agent under the equity distribution agreement. The remaining sales proceeds, after deducting transaction fees imposed by any governmental, regulatory or self-regulatory organization in connection with the sales, will equal our net proceeds for the sale of such shares.</w:t>
      </w:r>
    </w:p>
    <w:p>
      <w:pPr>
        <w:spacing w:after="0" w:line="96" w:lineRule="exact"/>
        <w:rPr>
          <w:sz w:val="20"/>
          <w:szCs w:val="20"/>
          <w:color w:val="auto"/>
        </w:rPr>
      </w:pPr>
    </w:p>
    <w:p>
      <w:pPr>
        <w:ind w:right="60" w:firstLine="249"/>
        <w:spacing w:after="0" w:line="257" w:lineRule="auto"/>
        <w:rPr>
          <w:sz w:val="20"/>
          <w:szCs w:val="20"/>
          <w:color w:val="auto"/>
        </w:rPr>
      </w:pPr>
      <w:r>
        <w:rPr>
          <w:rFonts w:ascii="Times New Roman" w:cs="Times New Roman" w:eastAsia="Times New Roman" w:hAnsi="Times New Roman"/>
          <w:sz w:val="14"/>
          <w:szCs w:val="14"/>
          <w:color w:val="auto"/>
        </w:rPr>
        <w:t>Only one sales agent or forward seller will be permitted to conduct sales of shares of our common stock at any given time pursuant to the equity distribution agreement, and no sales of shares of our common stock by any sales agent acting on our behalf, or by the relevant forward seller on behalf of the relevant forward purchaser in connection with any initially priced forward transaction, will occur simultaneously with any sales of the hedging shares by a collared forward seller on behalf of a collared forward purchaser (or its affiliate or agent) or contemporaneous purchases of shares by such collared forward purchaser in connection with the establishment of its initial delta hedge with respect to any collared forward transaction.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Transactions</w:t>
      </w:r>
    </w:p>
    <w:p>
      <w:pPr>
        <w:spacing w:after="0" w:line="132" w:lineRule="exact"/>
        <w:rPr>
          <w:sz w:val="20"/>
          <w:szCs w:val="20"/>
          <w:color w:val="auto"/>
        </w:rPr>
      </w:pPr>
    </w:p>
    <w:p>
      <w:pPr>
        <w:ind w:right="20" w:firstLine="249"/>
        <w:spacing w:after="0" w:line="174" w:lineRule="exact"/>
        <w:rPr>
          <w:sz w:val="20"/>
          <w:szCs w:val="20"/>
          <w:color w:val="auto"/>
        </w:rPr>
      </w:pPr>
      <w:r>
        <w:rPr>
          <w:rFonts w:ascii="Times New Roman" w:cs="Times New Roman" w:eastAsia="Times New Roman" w:hAnsi="Times New Roman"/>
          <w:sz w:val="14"/>
          <w:szCs w:val="14"/>
          <w:color w:val="auto"/>
        </w:rPr>
        <w:t>From time to time during the term of the equity distribution agreement, and subject to the terms and conditions set forth therein and in the applicable forward sale agreements, we may enter into one or more forward transactions with a forward purchaser. In connection with each such forward transaction, we will deliver instructions to its agent under the equity distribution agreement in its capacity as forward seller thereunder. Upon receipt by a forward seller of an instruction from us requesting that it execute sales of borrowed shares of our common stock as a forward seller in connection with the applicable forward sale agreement and subject to the terms and conditions of the equity distribution agreement and the applicable forward sale agreement, the relevant forward purchaser will attempt to borrow from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stock lenders, and the relevant forward seller will use its commercially reasonable efforts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1240"/>
          </w:cols>
          <w:pgMar w:left="300" w:top="12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4"/>
          <w:szCs w:val="14"/>
          <w:color w:val="auto"/>
        </w:rPr>
        <w:t>consistent with its normal trading and sales practices to sell, such shares of our common stock to hedge such forward purchaser’s exposure under such forward sale agreement. We, the relevant forward seller or the relevant forward purchaser may immediately suspend the offering of shares of our common stock at any time upon proper notice to the other party.</w:t>
      </w:r>
    </w:p>
    <w:p>
      <w:pPr>
        <w:spacing w:after="0" w:line="84" w:lineRule="exact"/>
        <w:rPr>
          <w:sz w:val="20"/>
          <w:szCs w:val="20"/>
          <w:color w:val="auto"/>
        </w:rPr>
      </w:pPr>
    </w:p>
    <w:p>
      <w:pPr>
        <w:ind w:right="60" w:firstLine="249"/>
        <w:spacing w:after="0" w:line="255" w:lineRule="auto"/>
        <w:rPr>
          <w:sz w:val="20"/>
          <w:szCs w:val="20"/>
          <w:color w:val="auto"/>
        </w:rPr>
      </w:pPr>
      <w:r>
        <w:rPr>
          <w:rFonts w:ascii="Times New Roman" w:cs="Times New Roman" w:eastAsia="Times New Roman" w:hAnsi="Times New Roman"/>
          <w:sz w:val="14"/>
          <w:szCs w:val="14"/>
          <w:color w:val="auto"/>
        </w:rPr>
        <w:t>We have been advised by each collared forward purchaser that it expects that, on the same days during the initial hedging period for any collared forward transaction when the relevant collared forward seller (or its affiliates) is selling a number of hedging shares necessary to introduce into the public market the maximum number of shares underlying the particular collared forward transaction, the relevant collared forward purchaser or its affiliates or agents will be contemporaneously purchasing a substantial portion of such number of shares in the open market for its own account, as each collared forward purchaser expects its initial hedge position in respect of the collared forward transaction to be less than the maximum number of shares underlying the collared forward transaction. Such purchases in the open market may have the effect of increasing, or limiting a decrease in, the market price of shares of our common stock.</w:t>
      </w:r>
    </w:p>
    <w:p>
      <w:pPr>
        <w:spacing w:after="0" w:line="100" w:lineRule="exact"/>
        <w:rPr>
          <w:sz w:val="20"/>
          <w:szCs w:val="20"/>
          <w:color w:val="auto"/>
        </w:rPr>
      </w:pPr>
    </w:p>
    <w:p>
      <w:pPr>
        <w:ind w:firstLine="249"/>
        <w:spacing w:after="0" w:line="253" w:lineRule="auto"/>
        <w:rPr>
          <w:sz w:val="20"/>
          <w:szCs w:val="20"/>
          <w:color w:val="auto"/>
        </w:rPr>
      </w:pPr>
      <w:r>
        <w:rPr>
          <w:rFonts w:ascii="Times New Roman" w:cs="Times New Roman" w:eastAsia="Times New Roman" w:hAnsi="Times New Roman"/>
          <w:sz w:val="14"/>
          <w:szCs w:val="14"/>
          <w:color w:val="auto"/>
        </w:rPr>
        <w:t>In the event that the relevant forward purchaser or its affiliate is unable to borrow and deliver any shares of our common stock for sale by the relevant forward seller under the equity distribution agreement or it would incur a stock loan cost that is equal to or greater than a specified amount, the number of shares underlying the relevant forward transaction will be reduced accordingly (and possibly to zero shares) immediately upon completion of the applicable hedging period. Additionally, the number of shares underlying a collared forward transaction will be reduced in the event that the collared forward seller is unable to borrow from third-party stock lenders (or would incur a stock loan cost that is equal to or greater than a specified amount) and sell short the maximum number of shares deliverable under the collared forward transaction into the public market during the initial hedging period therefor (including as a result of the prospectus being unavailable at any time during the initial hedging period).</w:t>
      </w:r>
    </w:p>
    <w:p>
      <w:pPr>
        <w:spacing w:after="0" w:line="104" w:lineRule="exact"/>
        <w:rPr>
          <w:sz w:val="20"/>
          <w:szCs w:val="20"/>
          <w:color w:val="auto"/>
        </w:rPr>
      </w:pPr>
    </w:p>
    <w:p>
      <w:pPr>
        <w:ind w:firstLine="249"/>
        <w:spacing w:after="0" w:line="250" w:lineRule="auto"/>
        <w:rPr>
          <w:sz w:val="20"/>
          <w:szCs w:val="20"/>
          <w:color w:val="auto"/>
        </w:rPr>
      </w:pPr>
      <w:r>
        <w:rPr>
          <w:rFonts w:ascii="Times New Roman" w:cs="Times New Roman" w:eastAsia="Times New Roman" w:hAnsi="Times New Roman"/>
          <w:sz w:val="14"/>
          <w:szCs w:val="14"/>
          <w:color w:val="auto"/>
        </w:rPr>
        <w:t>At the time of entry into a forward transaction, we will specify to the relevant forward purchaser a minimum price below which sales of any shares of our common stock, including sales of hedging shares in connection with a collared forward transaction, may not be made by the relevant forward seller and other sales parameters (including any volume limitations and an aggregate dollar amount of sales which shall not be exceeded) during the initial hedging period. The relevant forward seller is not required to sell any specific number or dollar amount of shares of our common stock, but, pursuant to the equity distribution agreement and subject in all regards to the terms of a particular forward sale agreement, the forward seller has agreed to use its commercially reasonable efforts consistent with its normal trading and sales practices to sell such shares on such terms during the initial hedging period. The obligations of the relevant forward seller under the equity distribution agreement to sell any shares are subject to a number of conditions that we must meet. Any sales of the shares by the relevant forward seller during the initial hedging period may be suspended at any time, and there can be no assurance that the forward seller will be able to borrow any shares from stock lenders and/or sell any shares pursuant to the equity distribution agreement. Only one sales agent or forward seller will be permitted to conduct sales of shares of our common stock at any given time pursuant to the equity distribution agreement, and no sales of shares of our common stock by any sales agent acting on our behalf, or by the relevant forward seller on behalf of the relevant forward purchaser in connection with any initially priced forward transaction, will occur simultaneously with any sales of the hedging shares by a collared forward seller on behalf of a collared forward purchaser or contemporaneous purchases of shares by such collared forward purchaser (or its affiliate or agent) in connection with the establishment of its initial delta hedge with respect to any collared forward transaction.</w:t>
      </w:r>
    </w:p>
    <w:p>
      <w:pPr>
        <w:spacing w:after="0" w:line="108" w:lineRule="exact"/>
        <w:rPr>
          <w:sz w:val="20"/>
          <w:szCs w:val="20"/>
          <w:color w:val="auto"/>
        </w:rPr>
      </w:pPr>
    </w:p>
    <w:p>
      <w:pPr>
        <w:ind w:firstLine="249"/>
        <w:spacing w:after="0" w:line="253" w:lineRule="auto"/>
        <w:rPr>
          <w:sz w:val="20"/>
          <w:szCs w:val="20"/>
          <w:color w:val="auto"/>
        </w:rPr>
      </w:pPr>
      <w:r>
        <w:rPr>
          <w:rFonts w:ascii="Times New Roman" w:cs="Times New Roman" w:eastAsia="Times New Roman" w:hAnsi="Times New Roman"/>
          <w:sz w:val="14"/>
          <w:szCs w:val="14"/>
          <w:color w:val="auto"/>
        </w:rPr>
        <w:t>Sales of our common stock under this prospectus supplement and the accompanying prospectus by the forward sellers will be made by any method permitted by law, including without limitations by means of ordinary brokers’ transactions on Nasdaq or otherwise at market prices prevailing at the time of sale, at prices related to prevailing market prices or at negotiated prices, subject to receipt and acceptance by the relevant forward seller and subject to the forward seller’s rights to reject any order in whole or in part. We expect that settlement between the relevant forward purchaser and the relevant forward seller of short sales of borrowed shares of our common stock, as well as the settlement between the forward sellers and buyers of such shares of our common stock in the market, will generally occur on the first trading day following each date the sales are made or such earlier day as required by SEC rule or industry practice, unless another date shall be agreed to by the relevant parties. The obligation of the relevant forward seller under the equity distribution agreement to execute such sales of our common stock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to a number of conditions, which the forward seller reserves the right to waive in its sole discretion. In connection with each initially priced forward transaction, the relevant forward seller will receive a commission equal to up to 2.0% of the volume weighted average of the sales prices of all borrowed shares of our common stock sold during the applicable period by it as the forward seller, reflected in a reduced initial forward sale price, payable by the forward purchaser under its forward sale agreement. In respect of a collared forward transaction, if such a commission is payable, it will be deducted from the proceeds we receive on any component prepayment date or settlement date, as applicable.</w:t>
      </w:r>
    </w:p>
    <w:p>
      <w:pPr>
        <w:spacing w:after="0" w:line="100" w:lineRule="exact"/>
        <w:rPr>
          <w:sz w:val="20"/>
          <w:szCs w:val="20"/>
          <w:color w:val="auto"/>
        </w:rPr>
      </w:pPr>
    </w:p>
    <w:p>
      <w:pPr>
        <w:ind w:right="100" w:firstLine="249"/>
        <w:spacing w:after="0" w:line="255" w:lineRule="auto"/>
        <w:rPr>
          <w:sz w:val="20"/>
          <w:szCs w:val="20"/>
          <w:color w:val="auto"/>
        </w:rPr>
      </w:pPr>
      <w:r>
        <w:rPr>
          <w:rFonts w:ascii="Times New Roman" w:cs="Times New Roman" w:eastAsia="Times New Roman" w:hAnsi="Times New Roman"/>
          <w:sz w:val="14"/>
          <w:szCs w:val="14"/>
          <w:color w:val="auto"/>
        </w:rPr>
        <w:t>The initial forward sale price per share under each initially priced forward transaction will be equal to the product of (1) an amount equal to one minus the applicable forward hedge selling commission rate and (2) the adjusted volume weighted average hedge price per share at which the borrowed shares of our common stock were sold pursuant to the equity distribution agreement by the relevant forward seller to hedge the relevant forward purchaser’s exposure under such initially priced forward transaction. The forward sale price that we expect to receive upon physical settlement of an initially priced forward transaction will be subject to adjustment on a daily basis based on a floating interest rate factor equal to the overnight bank funding rate less a spread and will be decreased on certain dates by amounts related to expected dividends, if any, on shares of our common stock during the term of the applicable initially priced forward sale agreement.</w:t>
      </w:r>
    </w:p>
    <w:p>
      <w:pPr>
        <w:spacing w:after="0" w:line="100" w:lineRule="exact"/>
        <w:rPr>
          <w:sz w:val="20"/>
          <w:szCs w:val="20"/>
          <w:color w:val="auto"/>
        </w:rPr>
      </w:pPr>
    </w:p>
    <w:p>
      <w:pPr>
        <w:ind w:right="60" w:firstLine="249"/>
        <w:spacing w:after="0" w:line="262" w:lineRule="auto"/>
        <w:rPr>
          <w:sz w:val="20"/>
          <w:szCs w:val="20"/>
          <w:color w:val="auto"/>
        </w:rPr>
      </w:pPr>
      <w:r>
        <w:rPr>
          <w:rFonts w:ascii="Times New Roman" w:cs="Times New Roman" w:eastAsia="Times New Roman" w:hAnsi="Times New Roman"/>
          <w:sz w:val="14"/>
          <w:szCs w:val="14"/>
          <w:color w:val="auto"/>
        </w:rPr>
        <w:t>The collared forward sale price that we will receive with respect to any component under any collared forward transaction for each share of our common stock deliverable thereunder will be equal to an amount determined based on the settlement reference price on the applicable valuation date for such component, provided that the collared forward sale price will not be less than the floor price for such component and will not be more than the cap price for such component, subject to adjustment under the terms of the collared forward sale agreement.</w:t>
      </w:r>
    </w:p>
    <w:p>
      <w:pPr>
        <w:spacing w:after="0" w:line="96"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During the initial hedging period for any collared forward transaction, a collared forward purchaser or a collared forward seller on its behalf may also use this prospectus supplement and the accompanying prospectus to effect any short sales of shares of our common stock on behalf of such collared forward purchaser as principal, to the extent required to adjust its initially established hedge of the applicable portion of the collared forward transaction. The prices of such sales will not be used to determine the floor price and the cap price of the collared forward transaction.</w:t>
      </w:r>
    </w:p>
    <w:p>
      <w:pPr>
        <w:spacing w:after="0" w:line="96" w:lineRule="exact"/>
        <w:rPr>
          <w:sz w:val="20"/>
          <w:szCs w:val="20"/>
          <w:color w:val="auto"/>
        </w:rPr>
      </w:pPr>
    </w:p>
    <w:p>
      <w:pPr>
        <w:ind w:right="20" w:firstLine="249"/>
        <w:spacing w:after="0" w:line="275" w:lineRule="auto"/>
        <w:rPr>
          <w:sz w:val="20"/>
          <w:szCs w:val="20"/>
          <w:color w:val="auto"/>
        </w:rPr>
      </w:pPr>
      <w:r>
        <w:rPr>
          <w:rFonts w:ascii="Times New Roman" w:cs="Times New Roman" w:eastAsia="Times New Roman" w:hAnsi="Times New Roman"/>
          <w:sz w:val="13"/>
          <w:szCs w:val="13"/>
          <w:color w:val="auto"/>
        </w:rPr>
        <w:t>Except under limited circumstances, we have the right to elect physical, cash or net share settlement under any initially priced forward transaction. Although we expect to settle any initially priced forward transaction entirely by delivering shares of our common stock in connection with full physical settlement, we may, subject to certain conditions, elect cash settlement or net share settlement for all or a portion of our obligations under a particular initially priced forward transaction if we conclude that it is in our interest to do so. For example, we may conclude that it is in our interest to cash settle or net share settle a particular initially priced forward transaction if we have no then-current use for all or a portion of the net proceeds that we would receive upon physical settlement. In addition, subject to certain conditions, we may elect to settle all or a portion of the number of shares of our common stock underlying a particular initially priced forward transaction prior to the maturity date of such initially priced forward transaction. By way of comparison, we will be obligated to settle a collared forward transaction physically by delivery of the underlying number of shares against payment therefor, and we may not elect to cash settle or net share settle a collared forward transaction. Additionally, we may not elect to settle a collared forward transaction prior to its scheduled maturity dates.</w:t>
      </w:r>
    </w:p>
    <w:p>
      <w:pPr>
        <w:spacing w:after="0" w:line="89" w:lineRule="exact"/>
        <w:rPr>
          <w:sz w:val="20"/>
          <w:szCs w:val="20"/>
          <w:color w:val="auto"/>
        </w:rPr>
      </w:pPr>
    </w:p>
    <w:p>
      <w:pPr>
        <w:ind w:right="160" w:firstLine="249"/>
        <w:spacing w:after="0" w:line="253" w:lineRule="auto"/>
        <w:rPr>
          <w:sz w:val="20"/>
          <w:szCs w:val="20"/>
          <w:color w:val="auto"/>
        </w:rPr>
      </w:pPr>
      <w:r>
        <w:rPr>
          <w:rFonts w:ascii="Times New Roman" w:cs="Times New Roman" w:eastAsia="Times New Roman" w:hAnsi="Times New Roman"/>
          <w:sz w:val="14"/>
          <w:szCs w:val="14"/>
          <w:color w:val="auto"/>
        </w:rPr>
        <w:t>If we elect to physically settle any initially priced forward transaction by issuing and delivering shares of our common stock, we will receive an amount of cash from the relevant forward purchaser equal to the product of the forward sale price per share under that particular initially priced forward transaction and the number of shares of our common stock underlying the particular initially priced forward transaction. In the event we elect to cash settle or net share settle, the settlement amount will be generally related to (1) (a) the weighted average price per share at which the relevant forward purchaser or its affiliate purchases shares of our common stock on each exchange business day during the relevant unwind period for such settlement under that particular initially priced forward transaction minus (b) the applicable forward sale price, as specified under the applicable initially priced forward transaction; multiplied by (2) the number of shares of our common stock underlying the particular initially priced forward transaction subject to such cash settlement or net share settlement. If this settlement amount is a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number, the relevant forward purchaser will pay us the absolute value of that amount (in the case of cash settlement) or deliver to us a number of shares of our common stock having a value equal to the absolute value of such amount (in the event of net share settlement). If this settlement amount is a positive number, we will pay the relevant forward purchaser that amount (in the case of cash settlement) or deliver to the relevant forward purchaser a number of shares of our common stock having a value equal to such amount (in the event of net share settlement). In connection with any cash settlement or net share settlement, we would expect the relevant forward purchaser or its affiliate to purchase shares of our common stock in secondary market transactions for delivery to third-party stock lenders in order to close out its, or its affiliate’s, hedge position in respect of that particular initially priced forward transaction. The purchase of shares of our common stock in connection with the relevant forward purchaser or its affiliate unwinding its hedge positions could result in an increase (or a reduction in the amount of any decrease) in the price of our common stock over such time, thereby increasing the amount of cash we owe to the relevant forward purchaser (or decreasing the amount of cash that the relevant forward purchaser owes us) upon cash settlement or increasing the number of shares of our common stock that we are obligated to deliver to the relevant forward purchaser (or decreasing the number of shares of our common stock that the relevant forward purchaser is obligated to deliver to us) upon net share settlement of the particular initially priced forward transaction. See “Risk Factors – Settlement provisions contained in any initially priced forward sale agreement subject us to certain risks.”</w:t>
      </w:r>
    </w:p>
    <w:p>
      <w:pPr>
        <w:spacing w:after="0" w:line="103" w:lineRule="exact"/>
        <w:rPr>
          <w:sz w:val="20"/>
          <w:szCs w:val="20"/>
          <w:color w:val="auto"/>
        </w:rPr>
      </w:pPr>
    </w:p>
    <w:p>
      <w:pPr>
        <w:ind w:firstLine="249"/>
        <w:spacing w:after="0" w:line="252" w:lineRule="auto"/>
        <w:rPr>
          <w:sz w:val="20"/>
          <w:szCs w:val="20"/>
          <w:color w:val="auto"/>
        </w:rPr>
      </w:pPr>
      <w:r>
        <w:rPr>
          <w:rFonts w:ascii="Times New Roman" w:cs="Times New Roman" w:eastAsia="Times New Roman" w:hAnsi="Times New Roman"/>
          <w:sz w:val="14"/>
          <w:szCs w:val="14"/>
          <w:color w:val="auto"/>
        </w:rPr>
        <w:t>On each component prepayment date of a collared forward transaction, the relevant collared forward purchaser will, upon our request, prepay to us an amount equal to (A) the present value of the product of the (x) number of shares underlying such component and (y) floor price for such component minus (B) the product of the (x) number of shares underlying such component, (y) collared forward selling commission and (z) hedge reference price, and we will issue and pledge the maximum number of shares underlying such component. If a component prepayment date with respect to such component previously occurred, the relevant collared forward purchaser will pay to us an amount of cash equal to the product of (x) the number of shares underlying such component and (y) the excess of the collared forward sale price for such component over the floor price for such component, and if a component prepayment date with respect to such component has not occurred, the relevant collared forward purchaser will pay to us an amount equal to (A) the product of the (x) number of shares underlying such component and (y) the collared forward sale price for such component minus (B) the product of (x) the number of shares underlying each component of the relevant collared forward transaction, (y) the Forward Hedge Selling Commission Rate and (z) the hedge reference price. On each component prepayment date, we will be required to issue and pledge to the relevant collared forward purchaser the maximum number of shares underlying such component.</w:t>
      </w:r>
    </w:p>
    <w:p>
      <w:pPr>
        <w:spacing w:after="0" w:line="102" w:lineRule="exact"/>
        <w:rPr>
          <w:sz w:val="20"/>
          <w:szCs w:val="20"/>
          <w:color w:val="auto"/>
        </w:rPr>
      </w:pPr>
    </w:p>
    <w:p>
      <w:pPr>
        <w:ind w:firstLine="249"/>
        <w:spacing w:after="0" w:line="252" w:lineRule="auto"/>
        <w:rPr>
          <w:sz w:val="20"/>
          <w:szCs w:val="20"/>
          <w:color w:val="auto"/>
        </w:rPr>
      </w:pPr>
      <w:r>
        <w:rPr>
          <w:rFonts w:ascii="Times New Roman" w:cs="Times New Roman" w:eastAsia="Times New Roman" w:hAnsi="Times New Roman"/>
          <w:sz w:val="14"/>
          <w:szCs w:val="14"/>
          <w:color w:val="auto"/>
        </w:rPr>
        <w:t>If a component prepayment date with respect to any component of a collared forward transaction previously occurred, at the maturity of such component, we expect our obligation to deliver shares of our common stock to the relevant collared forward purchaser to be set off against such collared forward purchaser’s obligation to return pledged shares to us with respect to such component, and if a component prepayment date with respect to such component has not occurred, at the maturity of such component, we will be required to issue and deliver to such collared forward purchaser the number of shares underlying such component. In addition, to the extent the collared forward sale price with respect to any component of a collared forward transaction exceeds the floor price for such component, we expect to receive such excess at maturity of such component. However, we will, subject to certain conditions specified in the collared forward sale agreement, have the right to elect to receive such excess in the form of our common stock, instead of cash, with the number of shares to be calculated based on the settlement reference price on the applicable valuation date for such component, in which case we expect our obligation to deliver shares of our common stock to the relevant collared forward purchaser at such maturity will be reduced by such amount. See “Forward Transactions—Collared Forward Transactions—Settlement” for additional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132" w:lineRule="exact"/>
        <w:rPr>
          <w:sz w:val="20"/>
          <w:szCs w:val="20"/>
          <w:color w:val="auto"/>
        </w:rPr>
      </w:pPr>
    </w:p>
    <w:p>
      <w:pPr>
        <w:ind w:firstLine="249"/>
        <w:spacing w:after="0" w:line="292" w:lineRule="auto"/>
        <w:rPr>
          <w:sz w:val="20"/>
          <w:szCs w:val="20"/>
          <w:color w:val="auto"/>
        </w:rPr>
      </w:pPr>
      <w:r>
        <w:rPr>
          <w:rFonts w:ascii="Times New Roman" w:cs="Times New Roman" w:eastAsia="Times New Roman" w:hAnsi="Times New Roman"/>
          <w:sz w:val="13"/>
          <w:szCs w:val="13"/>
          <w:color w:val="auto"/>
        </w:rPr>
        <w:t>In connection with the sale of our common stock on our behalf, each of the sales agents and forward sellers may be deemed to be an “underwriter” within the meaning of the Securities Act, and the compensation paid to the sales agents and forward sellers may be deemed to be underwriting commissions or discounts. We have agreed in the equity distribution agreement to indemnify each of the sales agents and forward sellers against certain civil liabilities, including liabilities under the Securities Act, or to contribute payments that may be required to be made in respect of any of these liabilities.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1260"/>
          </w:cols>
          <w:pgMar w:left="300" w:top="1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If we or any of the sales agents have reason to believe that our common stock is no longer an “actively-traded security” as defined under Rule 101(c)(1) of Regulation M under the Exchange Act, that party will promptly notify the others, and sales of our common stock pursuant to the equity distribution agreement, any terms agreement or any forward sale agreement will be suspended until in the reasonable judgment of the parties Rule 101(c)(1) or another exemptive provision has been satisfied.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132" w:lineRule="exact"/>
        <w:rPr>
          <w:sz w:val="20"/>
          <w:szCs w:val="20"/>
          <w:color w:val="auto"/>
        </w:rPr>
      </w:pPr>
    </w:p>
    <w:p>
      <w:pPr>
        <w:ind w:right="160" w:firstLine="249"/>
        <w:spacing w:after="0" w:line="255" w:lineRule="auto"/>
        <w:rPr>
          <w:sz w:val="20"/>
          <w:szCs w:val="20"/>
          <w:color w:val="auto"/>
        </w:rPr>
      </w:pPr>
      <w:r>
        <w:rPr>
          <w:rFonts w:ascii="Times New Roman" w:cs="Times New Roman" w:eastAsia="Times New Roman" w:hAnsi="Times New Roman"/>
          <w:sz w:val="14"/>
          <w:szCs w:val="14"/>
          <w:color w:val="auto"/>
        </w:rPr>
        <w:t>No action has been or will be taken in any jurisdiction (except in the United States) that would permit a public offering of the shares of our common stock, or the possession, circulation or distribution of this prospectus supplement or the accompanying prospectus or any other material relating to us or the shares of our common stock, in any jurisdiction where action for that purpose is required. Accordingly, the shares of our common stock offered by this prospectus supplement and the accompanying prospectus may not be offered or sold, directly or indirectly, and this prospectus supplement, the accompanying prospectus and any other offering material in connection with the shares of our common stock may not be distributed or published, in or from any country or jurisdiction except in compliance with any applicable rules and regulations of any such country or jurisdiction.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132" w:lineRule="exact"/>
        <w:rPr>
          <w:sz w:val="20"/>
          <w:szCs w:val="20"/>
          <w:color w:val="auto"/>
        </w:rPr>
      </w:pPr>
    </w:p>
    <w:p>
      <w:pPr>
        <w:ind w:right="220" w:firstLine="249"/>
        <w:spacing w:after="0" w:line="278" w:lineRule="auto"/>
        <w:rPr>
          <w:sz w:val="20"/>
          <w:szCs w:val="20"/>
          <w:color w:val="auto"/>
        </w:rPr>
      </w:pPr>
      <w:r>
        <w:rPr>
          <w:rFonts w:ascii="Times New Roman" w:cs="Times New Roman" w:eastAsia="Times New Roman" w:hAnsi="Times New Roman"/>
          <w:sz w:val="14"/>
          <w:szCs w:val="14"/>
          <w:color w:val="auto"/>
        </w:rPr>
        <w:t>The sales agents, forward sellers and forward purchasers and their affiliates have provided, and in the future may continue to provide, investment banking, commercial banking and other financial services to us and our affiliates in the ordinary course of business, for which they have received and will continue to receive customary compensation.</w:t>
      </w:r>
    </w:p>
    <w:p>
      <w:pPr>
        <w:spacing w:after="0" w:line="84" w:lineRule="exact"/>
        <w:rPr>
          <w:sz w:val="20"/>
          <w:szCs w:val="20"/>
          <w:color w:val="auto"/>
        </w:rPr>
      </w:pPr>
    </w:p>
    <w:p>
      <w:pPr>
        <w:ind w:right="100" w:firstLine="249"/>
        <w:spacing w:after="0" w:line="253" w:lineRule="auto"/>
        <w:rPr>
          <w:sz w:val="20"/>
          <w:szCs w:val="20"/>
          <w:color w:val="auto"/>
        </w:rPr>
      </w:pPr>
      <w:r>
        <w:rPr>
          <w:rFonts w:ascii="Times New Roman" w:cs="Times New Roman" w:eastAsia="Times New Roman" w:hAnsi="Times New Roman"/>
          <w:sz w:val="14"/>
          <w:szCs w:val="14"/>
          <w:color w:val="auto"/>
        </w:rPr>
        <w:t>In the ordinary course of their various business activities, the sales agents, forward sellers and forward purchasers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sales agents, forward sellers and forward purchasers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132" w:lineRule="exact"/>
        <w:rPr>
          <w:sz w:val="20"/>
          <w:szCs w:val="20"/>
          <w:color w:val="auto"/>
        </w:rPr>
      </w:pPr>
    </w:p>
    <w:p>
      <w:pPr>
        <w:ind w:right="20" w:firstLine="249"/>
        <w:spacing w:after="0" w:line="283" w:lineRule="auto"/>
        <w:rPr>
          <w:sz w:val="20"/>
          <w:szCs w:val="20"/>
          <w:color w:val="auto"/>
        </w:rPr>
      </w:pPr>
      <w:r>
        <w:rPr>
          <w:rFonts w:ascii="Times New Roman" w:cs="Times New Roman" w:eastAsia="Times New Roman" w:hAnsi="Times New Roman"/>
          <w:sz w:val="13"/>
          <w:szCs w:val="13"/>
          <w:color w:val="auto"/>
        </w:rPr>
        <w:t>Because the sales agents or their affiliates acting as forward purchasers and/or forward sellers, as defined herein, may receive more than 5% of the net proceeds of the offering of the hedging shares, each of these sales agents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as a “bona fide public market,” as defined in FINRA Rule 5121, exists for our common stock. None of these sales agents will confirm any sales to any account over which they exercise discretionary authority without the specific written approval of the account holder.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1260"/>
          </w:cols>
          <w:pgMar w:left="300" w:top="12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2" w:lineRule="exact"/>
        <w:rPr>
          <w:sz w:val="20"/>
          <w:szCs w:val="20"/>
          <w:color w:val="auto"/>
        </w:rPr>
      </w:pPr>
    </w:p>
    <w:p>
      <w:pPr>
        <w:ind w:right="160" w:firstLine="249"/>
        <w:spacing w:after="0" w:line="278" w:lineRule="auto"/>
        <w:rPr>
          <w:sz w:val="20"/>
          <w:szCs w:val="20"/>
          <w:color w:val="auto"/>
        </w:rPr>
      </w:pPr>
      <w:r>
        <w:rPr>
          <w:rFonts w:ascii="Times New Roman" w:cs="Times New Roman" w:eastAsia="Times New Roman" w:hAnsi="Times New Roman"/>
          <w:sz w:val="14"/>
          <w:szCs w:val="14"/>
          <w:color w:val="auto"/>
        </w:rPr>
        <w:t>The validity of the shares of our common stock offered hereby will be passed upon for us by Goodwin Procter LLP, Redwood City, California. Certain legal matters in connection with this offering will be passed upon for the sales agents by Latham &amp; Watkins, New York, New York.</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2" w:lineRule="exact"/>
        <w:rPr>
          <w:sz w:val="20"/>
          <w:szCs w:val="20"/>
          <w:color w:val="auto"/>
        </w:rPr>
      </w:pPr>
    </w:p>
    <w:p>
      <w:pPr>
        <w:ind w:right="300" w:firstLine="249"/>
        <w:spacing w:after="0" w:line="262" w:lineRule="auto"/>
        <w:rPr>
          <w:sz w:val="20"/>
          <w:szCs w:val="20"/>
          <w:color w:val="auto"/>
        </w:rPr>
      </w:pPr>
      <w:r>
        <w:rPr>
          <w:rFonts w:ascii="Times New Roman" w:cs="Times New Roman" w:eastAsia="Times New Roman" w:hAnsi="Times New Roman"/>
          <w:sz w:val="14"/>
          <w:szCs w:val="14"/>
          <w:color w:val="auto"/>
        </w:rPr>
        <w:t>The financial statements of Rocket Lab Corporation incorporated by reference in this prospectus supplement, and the effectiveness of Rocket Lab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2" w:lineRule="exact"/>
        <w:rPr>
          <w:sz w:val="20"/>
          <w:szCs w:val="20"/>
          <w:color w:val="auto"/>
        </w:rPr>
      </w:pPr>
    </w:p>
    <w:p>
      <w:pPr>
        <w:jc w:val="both"/>
        <w:ind w:right="120" w:firstLine="249"/>
        <w:spacing w:after="0" w:line="257" w:lineRule="auto"/>
        <w:rPr>
          <w:sz w:val="20"/>
          <w:szCs w:val="20"/>
          <w:color w:val="auto"/>
        </w:rPr>
      </w:pPr>
      <w:r>
        <w:rPr>
          <w:rFonts w:ascii="Times New Roman" w:cs="Times New Roman" w:eastAsia="Times New Roman" w:hAnsi="Times New Roman"/>
          <w:sz w:val="14"/>
          <w:szCs w:val="14"/>
          <w:color w:val="auto"/>
        </w:rPr>
        <w:t xml:space="preserve">We are required to file annual, quarterly and current reports, proxy statements and other information with the SEC. Our filings with the SEC are available to the public through the SEC’s website at </w:t>
      </w:r>
      <w:r>
        <w:rPr>
          <w:rFonts w:ascii="Times New Roman" w:cs="Times New Roman" w:eastAsia="Times New Roman" w:hAnsi="Times New Roman"/>
          <w:sz w:val="14"/>
          <w:szCs w:val="14"/>
          <w:i w:val="1"/>
          <w:iCs w:val="1"/>
          <w:color w:val="auto"/>
        </w:rPr>
        <w:t>https://www.sec.gov</w:t>
      </w:r>
      <w:r>
        <w:rPr>
          <w:rFonts w:ascii="Times New Roman" w:cs="Times New Roman" w:eastAsia="Times New Roman" w:hAnsi="Times New Roman"/>
          <w:sz w:val="14"/>
          <w:szCs w:val="14"/>
          <w:color w:val="auto"/>
        </w:rPr>
        <w:t>. In addition, we make available free of charge on our website (</w:t>
      </w:r>
      <w:r>
        <w:rPr>
          <w:rFonts w:ascii="Times New Roman" w:cs="Times New Roman" w:eastAsia="Times New Roman" w:hAnsi="Times New Roman"/>
          <w:sz w:val="14"/>
          <w:szCs w:val="14"/>
          <w:i w:val="1"/>
          <w:iCs w:val="1"/>
          <w:color w:val="auto"/>
        </w:rPr>
        <w:t>https://www.rocketlabcorp.com</w:t>
      </w:r>
      <w:r>
        <w:rPr>
          <w:rFonts w:ascii="Times New Roman" w:cs="Times New Roman" w:eastAsia="Times New Roman" w:hAnsi="Times New Roman"/>
          <w:sz w:val="14"/>
          <w:szCs w:val="14"/>
          <w:color w:val="auto"/>
        </w:rPr>
        <w:t>) our Annual Report on Form 10-K, Quarterly Reports on Form 10-Q, Current Reports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Form 8-K and all amendments to those reports as soon as reasonably practicable after such material is electronically filed with the SEC. Information contained on or accessible through our website is not a part of or incorporated by reference into this prospectus supplement, and the inclusion of our website address in this prospectus supplement is an inactive textual reference only.</w:t>
      </w:r>
    </w:p>
    <w:p>
      <w:pPr>
        <w:spacing w:after="0" w:line="100" w:lineRule="exact"/>
        <w:rPr>
          <w:sz w:val="20"/>
          <w:szCs w:val="20"/>
          <w:color w:val="auto"/>
        </w:rPr>
      </w:pPr>
    </w:p>
    <w:p>
      <w:pPr>
        <w:jc w:val="both"/>
        <w:ind w:firstLine="249"/>
        <w:spacing w:after="0" w:line="257" w:lineRule="auto"/>
        <w:rPr>
          <w:sz w:val="20"/>
          <w:szCs w:val="20"/>
          <w:color w:val="auto"/>
        </w:rPr>
      </w:pPr>
      <w:r>
        <w:rPr>
          <w:rFonts w:ascii="Times New Roman" w:cs="Times New Roman" w:eastAsia="Times New Roman" w:hAnsi="Times New Roman"/>
          <w:sz w:val="14"/>
          <w:szCs w:val="14"/>
          <w:color w:val="auto"/>
        </w:rPr>
        <w:t>We have filed a registration statement on Form S-3 with the SEC relating to the shares of our common stock covered by this prospectus supplement and the accompanying prospectus. This prospectus supplement and the accompanying prospectus do not contain all of the information set forth in the registration statement. Whenever a reference is made in this prospectus supplement or the accompanying prospectus to a contract or other document of ours, please be aware that the reference is only a summary and that you should refer to the exhibits that are part of the registration statement for a copy of the contract or other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32" w:lineRule="exact"/>
        <w:rPr>
          <w:sz w:val="20"/>
          <w:szCs w:val="20"/>
          <w:color w:val="auto"/>
        </w:rPr>
      </w:pPr>
    </w:p>
    <w:p>
      <w:pPr>
        <w:ind w:firstLine="249"/>
        <w:spacing w:after="0" w:line="252"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documents subsequently filed by us with the SEC under Sections 13(a), 13(c), 14 or 15(d) of the Exchange Act (in each case, other than those documents or the portions of those documents deemed furnished and not filed in accordance with SEC rules, including Items 2.02 and 7.01 of Form 8-K) until the offering of the securities under the registration statement of which this prospectus supplement forms a part is terminated or completed:</w:t>
      </w:r>
    </w:p>
    <w:p>
      <w:pPr>
        <w:spacing w:after="0" w:line="105" w:lineRule="exact"/>
        <w:rPr>
          <w:sz w:val="20"/>
          <w:szCs w:val="20"/>
          <w:color w:val="auto"/>
        </w:rPr>
      </w:pPr>
    </w:p>
    <w:p>
      <w:pPr>
        <w:ind w:left="500" w:hanging="248"/>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Form 10-K for the year ended December 31, 2025, filed with the SEC on </w:t>
      </w:r>
      <w:hyperlink r:id="rId15">
        <w:r>
          <w:rPr>
            <w:rFonts w:ascii="Times New Roman" w:cs="Times New Roman" w:eastAsia="Times New Roman" w:hAnsi="Times New Roman"/>
            <w:sz w:val="14"/>
            <w:szCs w:val="14"/>
            <w:u w:val="single" w:color="auto"/>
            <w:color w:val="0000FF"/>
          </w:rPr>
          <w:t>February 26, 2026</w:t>
        </w:r>
      </w:hyperlink>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Form 10-Q for the quarterly period ended March 31, 2026 filed with the SEC on </w:t>
      </w:r>
      <w:hyperlink r:id="rId16">
        <w:r>
          <w:rPr>
            <w:rFonts w:ascii="Times New Roman" w:cs="Times New Roman" w:eastAsia="Times New Roman" w:hAnsi="Times New Roman"/>
            <w:sz w:val="14"/>
            <w:szCs w:val="14"/>
            <w:u w:val="single" w:color="auto"/>
            <w:color w:val="0000FF"/>
          </w:rPr>
          <w:t>May 7, 2026</w:t>
        </w:r>
      </w:hyperlink>
      <w:r>
        <w:rPr>
          <w:rFonts w:ascii="Times New Roman" w:cs="Times New Roman" w:eastAsia="Times New Roman" w:hAnsi="Times New Roman"/>
          <w:sz w:val="14"/>
          <w:szCs w:val="14"/>
          <w:color w:val="auto"/>
        </w:rPr>
        <w:t>;</w:t>
      </w:r>
    </w:p>
    <w:p>
      <w:pPr>
        <w:spacing w:after="0" w:line="129" w:lineRule="exact"/>
        <w:rPr>
          <w:rFonts w:ascii="Times New Roman" w:cs="Times New Roman" w:eastAsia="Times New Roman" w:hAnsi="Times New Roman"/>
          <w:sz w:val="14"/>
          <w:szCs w:val="14"/>
          <w:color w:val="auto"/>
        </w:rPr>
      </w:pPr>
    </w:p>
    <w:p>
      <w:pPr>
        <w:ind w:left="500" w:right="100" w:hanging="248"/>
        <w:spacing w:after="0" w:line="278" w:lineRule="auto"/>
        <w:tabs>
          <w:tab w:leader="none" w:pos="4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17">
        <w:r>
          <w:rPr>
            <w:rFonts w:ascii="Times New Roman" w:cs="Times New Roman" w:eastAsia="Times New Roman" w:hAnsi="Times New Roman"/>
            <w:sz w:val="14"/>
            <w:szCs w:val="14"/>
            <w:u w:val="single" w:color="auto"/>
            <w:color w:val="0000FF"/>
          </w:rPr>
          <w:t>January 22,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(with respect to Item 8.01 only), </w:t>
      </w:r>
      <w:hyperlink r:id="rId18">
        <w:r>
          <w:rPr>
            <w:rFonts w:ascii="Times New Roman" w:cs="Times New Roman" w:eastAsia="Times New Roman" w:hAnsi="Times New Roman"/>
            <w:sz w:val="14"/>
            <w:szCs w:val="14"/>
            <w:u w:val="single" w:color="auto"/>
            <w:color w:val="0000FF"/>
          </w:rPr>
          <w:t>March 12, 2026</w:t>
        </w:r>
      </w:hyperlink>
      <w:r>
        <w:rPr>
          <w:rFonts w:ascii="Times New Roman" w:cs="Times New Roman" w:eastAsia="Times New Roman" w:hAnsi="Times New Roman"/>
          <w:sz w:val="14"/>
          <w:szCs w:val="14"/>
          <w:color w:val="auto"/>
        </w:rPr>
        <w:t xml:space="preserve">; </w:t>
      </w:r>
      <w:hyperlink r:id="rId19">
        <w:r>
          <w:rPr>
            <w:rFonts w:ascii="Times New Roman" w:cs="Times New Roman" w:eastAsia="Times New Roman" w:hAnsi="Times New Roman"/>
            <w:sz w:val="14"/>
            <w:szCs w:val="14"/>
            <w:u w:val="single" w:color="auto"/>
            <w:color w:val="0000FF"/>
          </w:rPr>
          <w:t>March 17, 2026</w:t>
        </w:r>
      </w:hyperlink>
      <w:r>
        <w:rPr>
          <w:rFonts w:ascii="Times New Roman" w:cs="Times New Roman" w:eastAsia="Times New Roman" w:hAnsi="Times New Roman"/>
          <w:sz w:val="14"/>
          <w:szCs w:val="14"/>
          <w:color w:val="auto"/>
        </w:rPr>
        <w:t xml:space="preserve">, </w:t>
      </w:r>
      <w:hyperlink r:id="rId20">
        <w:r>
          <w:rPr>
            <w:rFonts w:ascii="Times New Roman" w:cs="Times New Roman" w:eastAsia="Times New Roman" w:hAnsi="Times New Roman"/>
            <w:sz w:val="14"/>
            <w:szCs w:val="14"/>
            <w:u w:val="single" w:color="auto"/>
            <w:color w:val="0000FF"/>
          </w:rPr>
          <w:t>March 30, 2026</w:t>
        </w:r>
      </w:hyperlink>
      <w:r>
        <w:rPr>
          <w:rFonts w:ascii="Times New Roman" w:cs="Times New Roman" w:eastAsia="Times New Roman" w:hAnsi="Times New Roman"/>
          <w:sz w:val="14"/>
          <w:szCs w:val="14"/>
          <w:color w:val="auto"/>
        </w:rPr>
        <w:t xml:space="preserve">, </w:t>
      </w:r>
      <w:hyperlink r:id="rId21">
        <w:r>
          <w:rPr>
            <w:rFonts w:ascii="Times New Roman" w:cs="Times New Roman" w:eastAsia="Times New Roman" w:hAnsi="Times New Roman"/>
            <w:sz w:val="14"/>
            <w:szCs w:val="14"/>
            <w:u w:val="single" w:color="auto"/>
            <w:color w:val="0000FF"/>
          </w:rPr>
          <w:t>April 14,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(with respect to Items 3.02 and 8.01 only) and </w:t>
      </w:r>
      <w:hyperlink r:id="rId22">
        <w:r>
          <w:rPr>
            <w:rFonts w:ascii="Times New Roman" w:cs="Times New Roman" w:eastAsia="Times New Roman" w:hAnsi="Times New Roman"/>
            <w:sz w:val="14"/>
            <w:szCs w:val="14"/>
            <w:u w:val="single" w:color="auto"/>
            <w:color w:val="0000FF"/>
          </w:rPr>
          <w:t>May 8, 2026</w:t>
        </w:r>
      </w:hyperlink>
      <w:r>
        <w:rPr>
          <w:rFonts w:ascii="Times New Roman" w:cs="Times New Roman" w:eastAsia="Times New Roman" w:hAnsi="Times New Roman"/>
          <w:sz w:val="14"/>
          <w:szCs w:val="14"/>
          <w:color w:val="auto"/>
        </w:rPr>
        <w:t>; and</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capital stock contained in our Form 8-K12B filed with the SEC on </w:t>
      </w:r>
      <w:hyperlink r:id="rId23">
        <w:r>
          <w:rPr>
            <w:rFonts w:ascii="Times New Roman" w:cs="Times New Roman" w:eastAsia="Times New Roman" w:hAnsi="Times New Roman"/>
            <w:sz w:val="13"/>
            <w:szCs w:val="13"/>
            <w:u w:val="single" w:color="auto"/>
            <w:color w:val="0000FF"/>
          </w:rPr>
          <w:t>May 23, 2025</w:t>
        </w:r>
      </w:hyperlink>
      <w:r>
        <w:rPr>
          <w:rFonts w:ascii="Times New Roman" w:cs="Times New Roman" w:eastAsia="Times New Roman" w:hAnsi="Times New Roman"/>
          <w:sz w:val="13"/>
          <w:szCs w:val="13"/>
          <w:color w:val="auto"/>
        </w:rPr>
        <w:t>, including any amendments or reports filed for the purpose of updating such description.</w:t>
      </w:r>
    </w:p>
    <w:p>
      <w:pPr>
        <w:spacing w:after="0" w:line="141" w:lineRule="exact"/>
        <w:rPr>
          <w:rFonts w:ascii="Times New Roman" w:cs="Times New Roman" w:eastAsia="Times New Roman" w:hAnsi="Times New Roman"/>
          <w:sz w:val="14"/>
          <w:szCs w:val="14"/>
          <w:color w:val="auto"/>
        </w:rPr>
      </w:pPr>
    </w:p>
    <w:p>
      <w:pPr>
        <w:ind w:right="60" w:firstLine="249"/>
        <w:spacing w:after="0" w:line="262" w:lineRule="auto"/>
        <w:rPr>
          <w:sz w:val="20"/>
          <w:szCs w:val="20"/>
          <w:color w:val="auto"/>
        </w:rPr>
      </w:pPr>
      <w:r>
        <w:rPr>
          <w:rFonts w:ascii="Times New Roman" w:cs="Times New Roman" w:eastAsia="Times New Roman" w:hAnsi="Times New Roman"/>
          <w:sz w:val="14"/>
          <w:szCs w:val="14"/>
          <w:color w:val="auto"/>
        </w:rPr>
        <w:t>Upon request, we will provide, without charge, to each person, including any beneficial owner, to whom a copy of this prospectus supplement is delivered, upon written or oral request, a copy of the documents incorporated by reference into this prospectus supplement but not delivered with the prospectus supplement. You may request a copy of these filings, and any exhibits we have specifically incorporated by reference as an exhibit in this prospectus supplement, at no cost by writing or telephoning us at the following address and telephone number:</w:t>
      </w:r>
    </w:p>
    <w:p>
      <w:pPr>
        <w:spacing w:after="0" w:line="9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Rocket Lab Corporation</w:t>
      </w:r>
    </w:p>
    <w:p>
      <w:pPr>
        <w:spacing w:after="0" w:line="20"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3881 McGowen Street</w:t>
      </w:r>
    </w:p>
    <w:p>
      <w:pPr>
        <w:spacing w:after="0" w:line="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Long Beach, California 90808</w:t>
      </w:r>
    </w:p>
    <w:p>
      <w:pPr>
        <w:spacing w:after="0" w:line="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5"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(714) 465-5737</w:t>
      </w:r>
    </w:p>
    <w:p>
      <w:pPr>
        <w:spacing w:after="0" w:line="113" w:lineRule="exact"/>
        <w:rPr>
          <w:rFonts w:ascii="Times New Roman" w:cs="Times New Roman" w:eastAsia="Times New Roman" w:hAnsi="Times New Roman"/>
          <w:sz w:val="14"/>
          <w:szCs w:val="14"/>
          <w:color w:val="auto"/>
        </w:rPr>
      </w:pPr>
    </w:p>
    <w:p>
      <w:pPr>
        <w:ind w:right="80" w:firstLine="249"/>
        <w:spacing w:after="0" w:line="281" w:lineRule="auto"/>
        <w:rPr>
          <w:sz w:val="20"/>
          <w:szCs w:val="20"/>
          <w:color w:val="auto"/>
        </w:rPr>
      </w:pPr>
      <w:r>
        <w:rPr>
          <w:rFonts w:ascii="Times New Roman" w:cs="Times New Roman" w:eastAsia="Times New Roman" w:hAnsi="Times New Roman"/>
          <w:sz w:val="14"/>
          <w:szCs w:val="14"/>
          <w:color w:val="auto"/>
        </w:rPr>
        <w:t xml:space="preserve">You may also access these documents, free of charge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or on our website at </w:t>
      </w:r>
      <w:r>
        <w:rPr>
          <w:rFonts w:ascii="Times New Roman" w:cs="Times New Roman" w:eastAsia="Times New Roman" w:hAnsi="Times New Roman"/>
          <w:sz w:val="14"/>
          <w:szCs w:val="14"/>
          <w:i w:val="1"/>
          <w:iCs w:val="1"/>
          <w:color w:val="auto"/>
        </w:rPr>
        <w:t>www.rocketlabcorp.com</w:t>
      </w:r>
      <w:r>
        <w:rPr>
          <w:rFonts w:ascii="Times New Roman" w:cs="Times New Roman" w:eastAsia="Times New Roman" w:hAnsi="Times New Roman"/>
          <w:sz w:val="14"/>
          <w:szCs w:val="14"/>
          <w:color w:val="auto"/>
        </w:rPr>
        <w:t>. Information contained on our website is not incorporated by reference into this prospectus supplement, and you should not consider any information on, or that can be accessed from, our website as part of this prospectus supplement.</w:t>
      </w:r>
    </w:p>
    <w:p>
      <w:pPr>
        <w:spacing w:after="0" w:line="82" w:lineRule="exact"/>
        <w:rPr>
          <w:rFonts w:ascii="Times New Roman" w:cs="Times New Roman" w:eastAsia="Times New Roman" w:hAnsi="Times New Roman"/>
          <w:sz w:val="14"/>
          <w:szCs w:val="14"/>
          <w:color w:val="auto"/>
        </w:rPr>
      </w:pPr>
    </w:p>
    <w:p>
      <w:pPr>
        <w:ind w:right="540" w:firstLine="249"/>
        <w:spacing w:after="0" w:line="278"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we filed with the SEC. We have incorporated exhibits into the registration statement. You should read the exhibits carefully for provisions that may be important to you.</w:t>
      </w:r>
    </w:p>
    <w:p>
      <w:pPr>
        <w:spacing w:after="0" w:line="84" w:lineRule="exact"/>
        <w:rPr>
          <w:rFonts w:ascii="Times New Roman" w:cs="Times New Roman" w:eastAsia="Times New Roman" w:hAnsi="Times New Roman"/>
          <w:sz w:val="14"/>
          <w:szCs w:val="14"/>
          <w:color w:val="auto"/>
        </w:rPr>
      </w:pPr>
    </w:p>
    <w:p>
      <w:pPr>
        <w:ind w:right="120" w:firstLine="249"/>
        <w:spacing w:after="0" w:line="262"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other than that contained or incorporated by reference into this prospectus supplement. We are not making an offer of these securities in any state where the offer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1260"/>
          </w:cols>
          <w:pgMar w:left="300" w:top="1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Rocket Lab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24765</wp:posOffset>
            </wp:positionV>
            <wp:extent cx="1471295" cy="554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471295" cy="55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96520</wp:posOffset>
            </wp:positionV>
            <wp:extent cx="13195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19530" cy="6350"/>
                    </a:xfrm>
                    <a:prstGeom prst="rect">
                      <a:avLst/>
                    </a:prstGeom>
                    <a:noFill/>
                  </pic:spPr>
                </pic:pic>
              </a:graphicData>
            </a:graphic>
          </wp:anchor>
        </w:drawing>
      </w:r>
    </w:p>
    <w:p>
      <w:pPr>
        <w:spacing w:after="0" w:line="35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We may from time to time offer and sell the securities identified above in one or more offerings. In addition, selling securityholders to be named in a prospectus supplement may offer our securities from time to time. This prospectus describes the general terms of these securities and the general manner in which these securities will be offered.</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the applicable prospectus supplement and any related free writing prospectus, as well the documents incorporated by reference herein and therein, before you invest. The securities may be offered by us or by selling securityholders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0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Our common stock is listed on The Nasdaq Capital Market (“Nasdaq”) under the symbol “RKLB.” On March 10, 2025, the closing price for our common stock, as reported on Nasdaq, was $17.12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76200</wp:posOffset>
            </wp:positionV>
            <wp:extent cx="131953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319530" cy="6350"/>
                    </a:xfrm>
                    <a:prstGeom prst="rect">
                      <a:avLst/>
                    </a:prstGeom>
                    <a:noFill/>
                  </pic:spPr>
                </pic:pic>
              </a:graphicData>
            </a:graphic>
          </wp:anchor>
        </w:drawing>
      </w:r>
    </w:p>
    <w:p>
      <w:pPr>
        <w:spacing w:after="0" w:line="32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You should review carefully the risks and uncertainties referenced under the heading “</w:t>
      </w:r>
      <w:r>
        <w:rPr>
          <w:rFonts w:ascii="Times New Roman" w:cs="Times New Roman" w:eastAsia="Times New Roman" w:hAnsi="Times New Roman"/>
          <w:sz w:val="14"/>
          <w:szCs w:val="14"/>
          <w:b w:val="1"/>
          <w:bCs w:val="1"/>
          <w:u w:val="single" w:color="auto"/>
          <w:color w:val="0000FF"/>
        </w:rPr>
        <w:t>Risk Factors</w:t>
      </w:r>
      <w:r>
        <w:rPr>
          <w:rFonts w:ascii="Times New Roman" w:cs="Times New Roman" w:eastAsia="Times New Roman" w:hAnsi="Times New Roman"/>
          <w:sz w:val="14"/>
          <w:szCs w:val="14"/>
          <w:b w:val="1"/>
          <w:bCs w:val="1"/>
          <w:color w:val="auto"/>
        </w:rPr>
        <w:t>” contained in this prospectus beginning on page 2 and any applicable prospectus supplement, and under similar headings in the other documents that are incorporated by reference into this prospectus.</w:t>
      </w:r>
    </w:p>
    <w:p>
      <w:pPr>
        <w:spacing w:after="0" w:line="80"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2924175</wp:posOffset>
            </wp:positionH>
            <wp:positionV relativeFrom="paragraph">
              <wp:posOffset>74930</wp:posOffset>
            </wp:positionV>
            <wp:extent cx="131953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19530" cy="6350"/>
                    </a:xfrm>
                    <a:prstGeom prst="rect">
                      <a:avLst/>
                    </a:prstGeom>
                    <a:noFill/>
                  </pic:spPr>
                </pic:pic>
              </a:graphicData>
            </a:graphic>
          </wp:anchor>
        </w:drawing>
      </w: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The date of this prospectus is March 11, 2025.</w:t>
      </w:r>
    </w:p>
    <w:p>
      <w:pPr>
        <w:sectPr>
          <w:pgSz w:w="11900" w:h="16838" w:orient="portrait"/>
          <w:cols w:equalWidth="0" w:num="1">
            <w:col w:w="11200"/>
          </w:cols>
          <w:pgMar w:left="300" w:top="125"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0" w:type="dxa"/>
            <w:vAlign w:val="bottom"/>
            <w:gridSpan w:val="2"/>
          </w:tcPr>
          <w:p>
            <w:pPr>
              <w:jc w:val="right"/>
              <w:ind w:right="4838"/>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291"/>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5"/>
        </w:trPr>
        <w:tc>
          <w:tcPr>
            <w:tcW w:w="1720" w:type="dxa"/>
            <w:vAlign w:val="bottom"/>
            <w:tcBorders>
              <w:bottom w:val="single" w:sz="8" w:color="0000FF"/>
            </w:tcBorders>
            <w:gridSpan w:val="8"/>
          </w:tcPr>
          <w:p>
            <w:pPr>
              <w:spacing w:after="0" w:line="145" w:lineRule="exact"/>
              <w:rPr>
                <w:sz w:val="20"/>
                <w:szCs w:val="20"/>
                <w:color w:val="auto"/>
              </w:rPr>
            </w:pPr>
            <w:r>
              <w:rPr>
                <w:rFonts w:ascii="Times New Roman" w:cs="Times New Roman" w:eastAsia="Times New Roman" w:hAnsi="Times New Roman"/>
                <w:sz w:val="14"/>
                <w:szCs w:val="14"/>
                <w:color w:val="0000FF"/>
                <w:w w:val="97"/>
              </w:rPr>
              <w:t>ABOUT THIS PROSPECTUS</w:t>
            </w:r>
          </w:p>
        </w:tc>
        <w:tc>
          <w:tcPr>
            <w:tcW w:w="2940" w:type="dxa"/>
            <w:vAlign w:val="bottom"/>
            <w:gridSpan w:val="7"/>
          </w:tcPr>
          <w:p>
            <w:pPr>
              <w:spacing w:after="0"/>
              <w:rPr>
                <w:sz w:val="12"/>
                <w:szCs w:val="12"/>
                <w:color w:val="auto"/>
              </w:rPr>
            </w:pPr>
          </w:p>
        </w:tc>
        <w:tc>
          <w:tcPr>
            <w:tcW w:w="576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w:t>
            </w:r>
          </w:p>
        </w:tc>
      </w:tr>
      <w:tr>
        <w:trPr>
          <w:trHeight w:val="157"/>
        </w:trPr>
        <w:tc>
          <w:tcPr>
            <w:tcW w:w="960" w:type="dxa"/>
            <w:vAlign w:val="bottom"/>
            <w:tcBorders>
              <w:bottom w:val="single" w:sz="8" w:color="0000FF"/>
            </w:tcBorders>
            <w:gridSpan w:val="2"/>
          </w:tcPr>
          <w:p>
            <w:pPr>
              <w:spacing w:after="0" w:line="157" w:lineRule="exact"/>
              <w:rPr>
                <w:sz w:val="20"/>
                <w:szCs w:val="20"/>
                <w:color w:val="auto"/>
              </w:rPr>
            </w:pPr>
            <w:r>
              <w:rPr>
                <w:rFonts w:ascii="Times New Roman" w:cs="Times New Roman" w:eastAsia="Times New Roman" w:hAnsi="Times New Roman"/>
                <w:sz w:val="14"/>
                <w:szCs w:val="14"/>
                <w:color w:val="0000FF"/>
                <w:w w:val="95"/>
              </w:rPr>
              <w:t>RISK FACTORS</w:t>
            </w:r>
          </w:p>
        </w:tc>
        <w:tc>
          <w:tcPr>
            <w:tcW w:w="3700" w:type="dxa"/>
            <w:vAlign w:val="bottom"/>
            <w:gridSpan w:val="13"/>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w:t>
            </w: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3</w:t>
            </w:r>
          </w:p>
        </w:tc>
      </w:tr>
      <w:tr>
        <w:trPr>
          <w:trHeight w:val="157"/>
        </w:trPr>
        <w:tc>
          <w:tcPr>
            <w:tcW w:w="4440" w:type="dxa"/>
            <w:vAlign w:val="bottom"/>
            <w:tcBorders>
              <w:top w:val="single" w:sz="8" w:color="0000FF"/>
            </w:tcBorders>
            <w:gridSpan w:val="14"/>
          </w:tcPr>
          <w:p>
            <w:pPr>
              <w:spacing w:after="0" w:line="157" w:lineRule="exact"/>
              <w:rPr>
                <w:sz w:val="20"/>
                <w:szCs w:val="20"/>
                <w:color w:val="auto"/>
              </w:rPr>
            </w:pPr>
            <w:r>
              <w:rPr>
                <w:rFonts w:ascii="Times New Roman" w:cs="Times New Roman" w:eastAsia="Times New Roman" w:hAnsi="Times New Roman"/>
                <w:sz w:val="14"/>
                <w:szCs w:val="14"/>
                <w:color w:val="0000FF"/>
              </w:rPr>
              <w:t>THE COMPANY</w:t>
            </w:r>
          </w:p>
        </w:tc>
        <w:tc>
          <w:tcPr>
            <w:tcW w:w="220" w:type="dxa"/>
            <w:vAlign w:val="bottom"/>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5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157"/>
        </w:trPr>
        <w:tc>
          <w:tcPr>
            <w:tcW w:w="1220" w:type="dxa"/>
            <w:vAlign w:val="bottom"/>
            <w:tcBorders>
              <w:bottom w:val="single" w:sz="8" w:color="0000FF"/>
            </w:tcBorders>
            <w:gridSpan w:val="5"/>
          </w:tcPr>
          <w:p>
            <w:pPr>
              <w:spacing w:after="0" w:line="157" w:lineRule="exact"/>
              <w:rPr>
                <w:sz w:val="20"/>
                <w:szCs w:val="20"/>
                <w:color w:val="auto"/>
              </w:rPr>
            </w:pPr>
            <w:r>
              <w:rPr>
                <w:rFonts w:ascii="Times New Roman" w:cs="Times New Roman" w:eastAsia="Times New Roman" w:hAnsi="Times New Roman"/>
                <w:sz w:val="14"/>
                <w:szCs w:val="14"/>
                <w:color w:val="0000FF"/>
                <w:w w:val="97"/>
              </w:rPr>
              <w:t>USE OF PROCEEDS</w:t>
            </w:r>
          </w:p>
        </w:tc>
        <w:tc>
          <w:tcPr>
            <w:tcW w:w="3440" w:type="dxa"/>
            <w:vAlign w:val="bottom"/>
            <w:gridSpan w:val="10"/>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6</w:t>
            </w: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DESCRIPTION OF CAPITAL STOCK</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7</w:t>
            </w:r>
          </w:p>
        </w:tc>
      </w:tr>
      <w:tr>
        <w:trPr>
          <w:trHeight w:val="20"/>
        </w:trPr>
        <w:tc>
          <w:tcPr>
            <w:tcW w:w="58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DESCRIPTION OF DEBT SECURITIES</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14</w:t>
            </w:r>
          </w:p>
        </w:tc>
      </w:tr>
      <w:tr>
        <w:trPr>
          <w:trHeight w:val="157"/>
        </w:trPr>
        <w:tc>
          <w:tcPr>
            <w:tcW w:w="2320" w:type="dxa"/>
            <w:vAlign w:val="bottom"/>
            <w:tcBorders>
              <w:top w:val="single" w:sz="8" w:color="0000FF"/>
            </w:tcBorders>
            <w:gridSpan w:val="12"/>
          </w:tcPr>
          <w:p>
            <w:pPr>
              <w:spacing w:after="0" w:line="157" w:lineRule="exact"/>
              <w:rPr>
                <w:sz w:val="20"/>
                <w:szCs w:val="20"/>
                <w:color w:val="auto"/>
              </w:rPr>
            </w:pPr>
            <w:r>
              <w:rPr>
                <w:rFonts w:ascii="Times New Roman" w:cs="Times New Roman" w:eastAsia="Times New Roman" w:hAnsi="Times New Roman"/>
                <w:sz w:val="14"/>
                <w:szCs w:val="14"/>
                <w:color w:val="0000FF"/>
              </w:rPr>
              <w:t>DESCRIPTION OF WARRANTS</w:t>
            </w:r>
          </w:p>
        </w:tc>
        <w:tc>
          <w:tcPr>
            <w:tcW w:w="2340" w:type="dxa"/>
            <w:vAlign w:val="bottom"/>
            <w:gridSpan w:val="3"/>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20</w:t>
            </w:r>
          </w:p>
        </w:tc>
      </w:tr>
      <w:tr>
        <w:trPr>
          <w:trHeight w:val="157"/>
        </w:trPr>
        <w:tc>
          <w:tcPr>
            <w:tcW w:w="1560" w:type="dxa"/>
            <w:vAlign w:val="bottom"/>
            <w:tcBorders>
              <w:top w:val="single" w:sz="8" w:color="0000FF"/>
              <w:bottom w:val="single" w:sz="8" w:color="0000FF"/>
            </w:tcBorders>
            <w:gridSpan w:val="6"/>
          </w:tcPr>
          <w:p>
            <w:pPr>
              <w:spacing w:after="0" w:line="157" w:lineRule="exact"/>
              <w:rPr>
                <w:sz w:val="20"/>
                <w:szCs w:val="20"/>
                <w:color w:val="auto"/>
              </w:rPr>
            </w:pPr>
            <w:r>
              <w:rPr>
                <w:rFonts w:ascii="Times New Roman" w:cs="Times New Roman" w:eastAsia="Times New Roman" w:hAnsi="Times New Roman"/>
                <w:sz w:val="14"/>
                <w:szCs w:val="14"/>
                <w:color w:val="0000FF"/>
                <w:w w:val="97"/>
              </w:rPr>
              <w:t>DESCRIPTION OF UNITS</w:t>
            </w:r>
          </w:p>
        </w:tc>
        <w:tc>
          <w:tcPr>
            <w:tcW w:w="340" w:type="dxa"/>
            <w:vAlign w:val="bottom"/>
            <w:tcBorders>
              <w:top w:val="single" w:sz="8" w:color="0000FF"/>
            </w:tcBorders>
            <w:gridSpan w:val="3"/>
          </w:tcPr>
          <w:p>
            <w:pPr>
              <w:spacing w:after="0"/>
              <w:rPr>
                <w:sz w:val="13"/>
                <w:szCs w:val="13"/>
                <w:color w:val="auto"/>
              </w:rPr>
            </w:pPr>
          </w:p>
        </w:tc>
        <w:tc>
          <w:tcPr>
            <w:tcW w:w="2760" w:type="dxa"/>
            <w:vAlign w:val="bottom"/>
            <w:gridSpan w:val="6"/>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22</w:t>
            </w: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SELLING SECURITYHOLDERS</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25</w:t>
            </w:r>
          </w:p>
        </w:tc>
      </w:tr>
      <w:tr>
        <w:trPr>
          <w:trHeight w:val="157"/>
        </w:trPr>
        <w:tc>
          <w:tcPr>
            <w:tcW w:w="1580" w:type="dxa"/>
            <w:vAlign w:val="bottom"/>
            <w:tcBorders>
              <w:top w:val="single" w:sz="8" w:color="0000FF"/>
              <w:bottom w:val="single" w:sz="8" w:color="0000FF"/>
            </w:tcBorders>
            <w:gridSpan w:val="7"/>
          </w:tcPr>
          <w:p>
            <w:pPr>
              <w:spacing w:after="0" w:line="157" w:lineRule="exact"/>
              <w:rPr>
                <w:sz w:val="20"/>
                <w:szCs w:val="20"/>
                <w:color w:val="auto"/>
              </w:rPr>
            </w:pPr>
            <w:r>
              <w:rPr>
                <w:rFonts w:ascii="Times New Roman" w:cs="Times New Roman" w:eastAsia="Times New Roman" w:hAnsi="Times New Roman"/>
                <w:sz w:val="14"/>
                <w:szCs w:val="14"/>
                <w:color w:val="0000FF"/>
                <w:w w:val="97"/>
              </w:rPr>
              <w:t>PLAN OF DISTRIBUTION</w:t>
            </w:r>
          </w:p>
        </w:tc>
        <w:tc>
          <w:tcPr>
            <w:tcW w:w="340" w:type="dxa"/>
            <w:vAlign w:val="bottom"/>
            <w:tcBorders>
              <w:top w:val="single" w:sz="8" w:color="0000FF"/>
            </w:tcBorders>
            <w:gridSpan w:val="3"/>
          </w:tcPr>
          <w:p>
            <w:pPr>
              <w:spacing w:after="0"/>
              <w:rPr>
                <w:sz w:val="13"/>
                <w:szCs w:val="13"/>
                <w:color w:val="auto"/>
              </w:rPr>
            </w:pPr>
          </w:p>
        </w:tc>
        <w:tc>
          <w:tcPr>
            <w:tcW w:w="2740" w:type="dxa"/>
            <w:vAlign w:val="bottom"/>
            <w:gridSpan w:val="5"/>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26</w:t>
            </w:r>
          </w:p>
        </w:tc>
      </w:tr>
      <w:tr>
        <w:trPr>
          <w:trHeight w:val="157"/>
        </w:trPr>
        <w:tc>
          <w:tcPr>
            <w:tcW w:w="1120" w:type="dxa"/>
            <w:vAlign w:val="bottom"/>
            <w:tcBorders>
              <w:bottom w:val="single" w:sz="8" w:color="0000FF"/>
            </w:tcBorders>
            <w:gridSpan w:val="4"/>
          </w:tcPr>
          <w:p>
            <w:pPr>
              <w:spacing w:after="0" w:line="157" w:lineRule="exact"/>
              <w:rPr>
                <w:sz w:val="20"/>
                <w:szCs w:val="20"/>
                <w:color w:val="auto"/>
              </w:rPr>
            </w:pPr>
            <w:r>
              <w:rPr>
                <w:rFonts w:ascii="Times New Roman" w:cs="Times New Roman" w:eastAsia="Times New Roman" w:hAnsi="Times New Roman"/>
                <w:sz w:val="14"/>
                <w:szCs w:val="14"/>
                <w:color w:val="0000FF"/>
                <w:w w:val="95"/>
              </w:rPr>
              <w:t>LEGAL MATTERS</w:t>
            </w:r>
          </w:p>
        </w:tc>
        <w:tc>
          <w:tcPr>
            <w:tcW w:w="3540" w:type="dxa"/>
            <w:vAlign w:val="bottom"/>
            <w:gridSpan w:val="11"/>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29</w:t>
            </w: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EXPERTS</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580" w:type="dxa"/>
            <w:vAlign w:val="bottom"/>
            <w:shd w:val="clear" w:color="auto" w:fill="0000FF"/>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r>
      <w:tr>
        <w:trPr>
          <w:trHeight w:val="157"/>
        </w:trPr>
        <w:tc>
          <w:tcPr>
            <w:tcW w:w="2940" w:type="dxa"/>
            <w:vAlign w:val="bottom"/>
            <w:tcBorders>
              <w:bottom w:val="single" w:sz="8" w:color="0000FF"/>
            </w:tcBorders>
            <w:gridSpan w:val="13"/>
          </w:tcPr>
          <w:p>
            <w:pPr>
              <w:spacing w:after="0" w:line="157" w:lineRule="exact"/>
              <w:rPr>
                <w:sz w:val="20"/>
                <w:szCs w:val="20"/>
                <w:color w:val="auto"/>
              </w:rPr>
            </w:pPr>
            <w:r>
              <w:rPr>
                <w:rFonts w:ascii="Times New Roman" w:cs="Times New Roman" w:eastAsia="Times New Roman" w:hAnsi="Times New Roman"/>
                <w:sz w:val="14"/>
                <w:szCs w:val="14"/>
                <w:color w:val="0000FF"/>
                <w:w w:val="97"/>
              </w:rPr>
              <w:t>WHERE YOU CAN FIND MORE INFORMATION</w:t>
            </w:r>
          </w:p>
        </w:tc>
        <w:tc>
          <w:tcPr>
            <w:tcW w:w="1720" w:type="dxa"/>
            <w:vAlign w:val="bottom"/>
            <w:gridSpan w:val="2"/>
          </w:tcPr>
          <w:p>
            <w:pPr>
              <w:spacing w:after="0"/>
              <w:rPr>
                <w:sz w:val="13"/>
                <w:szCs w:val="13"/>
                <w:color w:val="auto"/>
              </w:rPr>
            </w:pP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29</w:t>
            </w:r>
          </w:p>
        </w:tc>
      </w:tr>
      <w:tr>
        <w:trPr>
          <w:trHeight w:val="157"/>
        </w:trPr>
        <w:tc>
          <w:tcPr>
            <w:tcW w:w="466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rPr>
              <w:t>INCORPORATION BY REFERENCE</w:t>
            </w:r>
          </w:p>
        </w:tc>
        <w:tc>
          <w:tcPr>
            <w:tcW w:w="660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30</w:t>
            </w:r>
          </w:p>
        </w:tc>
      </w:tr>
      <w:tr>
        <w:trPr>
          <w:trHeight w:val="20"/>
        </w:trPr>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32" w:lineRule="exact"/>
        <w:rPr>
          <w:sz w:val="20"/>
          <w:szCs w:val="20"/>
          <w:color w:val="auto"/>
        </w:rPr>
      </w:pPr>
    </w:p>
    <w:p>
      <w:pPr>
        <w:ind w:right="60" w:firstLine="249"/>
        <w:spacing w:after="0" w:line="262" w:lineRule="auto"/>
        <w:rPr>
          <w:sz w:val="20"/>
          <w:szCs w:val="20"/>
          <w:color w:val="auto"/>
        </w:rPr>
      </w:pPr>
      <w:r>
        <w:rPr>
          <w:rFonts w:ascii="Times New Roman" w:cs="Times New Roman" w:eastAsia="Times New Roman" w:hAnsi="Times New Roman"/>
          <w:sz w:val="14"/>
          <w:szCs w:val="14"/>
          <w:color w:val="auto"/>
        </w:rPr>
        <w:t>This prospectus is part of an automatic registration statement on Form S-3 that we filed with the Securities and Exchange Commission (the “SEC”) under the Securities Act of 1933, as amended (the “Securities Act”) utilizing a “shelf” registration process as a “well-known seasoned issuer”, as defined in Rule 405 under the Securities Act. Under this shelf registration process, we and/or any selling securityholders may from time to time sell any combination of the securities described in this prospectus in one or more offerings.</w:t>
      </w:r>
    </w:p>
    <w:p>
      <w:pPr>
        <w:spacing w:after="0" w:line="96" w:lineRule="exact"/>
        <w:rPr>
          <w:sz w:val="20"/>
          <w:szCs w:val="20"/>
          <w:color w:val="auto"/>
        </w:rPr>
      </w:pPr>
    </w:p>
    <w:p>
      <w:pPr>
        <w:ind w:right="240" w:firstLine="249"/>
        <w:spacing w:after="0" w:line="253"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or the selling securityholders may offer. Each time we or the selling securityholders offer and sell securities, we or the selling securityholders will provide you with one or more prospectus supplements that will contain specific information about the terms of the offering. The prospectus supplement or a free writing prospectus may also add, update or change information contained in this prospectus. This prospectus, together with the accompanying prospectus supplement and any related free writing prospectus, contains important information you should know before investing in our securities, including important information about us and the securities being offered. You should read both this prospectus, the accompanying prospectus supplement and any related free writing prospectus together with the additional information described under the heading “Where You Can Find More Information” and “Incorporation by Reference” elsewhere in this prospectus.</w:t>
      </w:r>
    </w:p>
    <w:p>
      <w:pPr>
        <w:spacing w:after="0" w:line="104" w:lineRule="exact"/>
        <w:rPr>
          <w:sz w:val="20"/>
          <w:szCs w:val="20"/>
          <w:color w:val="auto"/>
        </w:rPr>
      </w:pPr>
    </w:p>
    <w:p>
      <w:pPr>
        <w:ind w:right="20" w:firstLine="249"/>
        <w:spacing w:after="0" w:line="251" w:lineRule="auto"/>
        <w:rPr>
          <w:sz w:val="20"/>
          <w:szCs w:val="20"/>
          <w:color w:val="auto"/>
        </w:rPr>
      </w:pPr>
      <w:r>
        <w:rPr>
          <w:rFonts w:ascii="Times New Roman" w:cs="Times New Roman" w:eastAsia="Times New Roman" w:hAnsi="Times New Roman"/>
          <w:sz w:val="14"/>
          <w:szCs w:val="14"/>
          <w:color w:val="auto"/>
        </w:rPr>
        <w:t>Neither we nor any selling securityholder have authorized anyone to provide you with different or additional information from that set forth in this prospectus, any accompanying prospectus supplement and any related free writing prospectus. We do not take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herein or therein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 This prospectus, any applicable prospectus supplement and the information incorporated by reference herein or therein may contain market data, industry statistics and other data that have been obtained or compiled from information made available by independent third parties. We have not independently verified the accuracy and completeness of such data.</w:t>
      </w:r>
    </w:p>
    <w:p>
      <w:pPr>
        <w:spacing w:after="0" w:line="105" w:lineRule="exact"/>
        <w:rPr>
          <w:sz w:val="20"/>
          <w:szCs w:val="20"/>
          <w:color w:val="auto"/>
        </w:rPr>
      </w:pPr>
    </w:p>
    <w:p>
      <w:pPr>
        <w:ind w:right="100" w:firstLine="249"/>
        <w:spacing w:after="0" w:line="278" w:lineRule="auto"/>
        <w:rPr>
          <w:sz w:val="20"/>
          <w:szCs w:val="20"/>
          <w:color w:val="auto"/>
        </w:rPr>
      </w:pPr>
      <w:r>
        <w:rPr>
          <w:rFonts w:ascii="Times New Roman" w:cs="Times New Roman" w:eastAsia="Times New Roman" w:hAnsi="Times New Roman"/>
          <w:sz w:val="14"/>
          <w:szCs w:val="14"/>
          <w:color w:val="auto"/>
        </w:rPr>
        <w:t>Unless the context otherwise indicates, references in this prospectus to “Rocket Lab”, “we,” “our” and “us” refer, collectively, to Rocket Lab USA, Inc., a Delaware corporation, and its consolidated subsidiaries.</w:t>
      </w:r>
    </w:p>
    <w:p>
      <w:pPr>
        <w:spacing w:after="0" w:line="84" w:lineRule="exact"/>
        <w:rPr>
          <w:sz w:val="20"/>
          <w:szCs w:val="20"/>
          <w:color w:val="auto"/>
        </w:rPr>
      </w:pPr>
    </w:p>
    <w:p>
      <w:pPr>
        <w:ind w:firstLine="249"/>
        <w:spacing w:after="0" w:line="238" w:lineRule="auto"/>
        <w:rPr>
          <w:sz w:val="20"/>
          <w:szCs w:val="20"/>
          <w:color w:val="auto"/>
        </w:rPr>
      </w:pPr>
      <w:r>
        <w:rPr>
          <w:rFonts w:ascii="Times New Roman" w:cs="Times New Roman" w:eastAsia="Times New Roman" w:hAnsi="Times New Roman"/>
          <w:sz w:val="14"/>
          <w:szCs w:val="14"/>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4"/>
          <w:szCs w:val="14"/>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2" w:lineRule="exact"/>
        <w:rPr>
          <w:sz w:val="20"/>
          <w:szCs w:val="20"/>
          <w:color w:val="auto"/>
        </w:rPr>
      </w:pPr>
    </w:p>
    <w:p>
      <w:pPr>
        <w:ind w:firstLine="249"/>
        <w:spacing w:after="0" w:line="257" w:lineRule="auto"/>
        <w:rPr>
          <w:sz w:val="20"/>
          <w:szCs w:val="20"/>
          <w:color w:val="auto"/>
        </w:rPr>
      </w:pPr>
      <w:r>
        <w:rPr>
          <w:rFonts w:ascii="Times New Roman" w:cs="Times New Roman" w:eastAsia="Times New Roman" w:hAnsi="Times New Roman"/>
          <w:sz w:val="14"/>
          <w:szCs w:val="14"/>
          <w:color w:val="auto"/>
        </w:rPr>
        <w:t>Investing in our securities involves significant risks. Please see the risk factors under the heading “Risk Factors” in our most recent Annual Report on Form 10-K , as well as any risk factors included in our Quarterly Reports on Form 10-Q, our Current Reports on Form 8-K, and the other documents we file with the SEC that are incorporated by reference in this prospectus, along with any risk factors identified in a prospectus supplement or any applicable free writing prospectus. Before making an investment decision, you should carefully consider these risks as well as other information we include or incorporate by reference in this prospectus and any prospectus supplement.</w:t>
      </w:r>
    </w:p>
    <w:p>
      <w:pPr>
        <w:spacing w:after="0" w:line="100" w:lineRule="exact"/>
        <w:rPr>
          <w:sz w:val="20"/>
          <w:szCs w:val="20"/>
          <w:color w:val="auto"/>
        </w:rPr>
      </w:pPr>
    </w:p>
    <w:p>
      <w:pPr>
        <w:ind w:right="60" w:firstLine="249"/>
        <w:spacing w:after="0" w:line="283" w:lineRule="auto"/>
        <w:rPr>
          <w:sz w:val="20"/>
          <w:szCs w:val="20"/>
          <w:color w:val="auto"/>
        </w:rPr>
      </w:pPr>
      <w:r>
        <w:rPr>
          <w:rFonts w:ascii="Times New Roman" w:cs="Times New Roman" w:eastAsia="Times New Roman" w:hAnsi="Times New Roman"/>
          <w:sz w:val="13"/>
          <w:szCs w:val="13"/>
          <w:color w:val="auto"/>
        </w:rPr>
        <w:t>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elsewhere in this prospectus. Actual results could differ materially from those anticipated in these forward-looking statements as a result of certain factors, including the risks referenced below and described in the documents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00" w:top="1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32" w:lineRule="exact"/>
        <w:rPr>
          <w:sz w:val="20"/>
          <w:szCs w:val="20"/>
          <w:color w:val="auto"/>
        </w:rPr>
      </w:pPr>
    </w:p>
    <w:p>
      <w:pPr>
        <w:ind w:right="280" w:firstLine="249"/>
        <w:spacing w:after="0" w:line="252" w:lineRule="auto"/>
        <w:rPr>
          <w:sz w:val="20"/>
          <w:szCs w:val="20"/>
          <w:color w:val="auto"/>
        </w:rPr>
      </w:pPr>
      <w:r>
        <w:rPr>
          <w:rFonts w:ascii="Times New Roman" w:cs="Times New Roman" w:eastAsia="Times New Roman" w:hAnsi="Times New Roman"/>
          <w:sz w:val="14"/>
          <w:szCs w:val="14"/>
          <w:color w:val="auto"/>
        </w:rPr>
        <w:t>This prospectus, including the documents that we incorporate by reference, contains forward-looking statements within the meaning of Section 27A of the Securities Act and Section 21E of the Securities Exchange Act of 1934, as amended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“could,” “expect,” “intends,” “may,” “might,” “plan,” “potential,” “predict,” “project,” “should,” “will,” “would” and similar expressions may identify forward-looking statements, but the absence of these words does not mean that a statement is not forward-looking. These forward-looking statements involve a number of risks, uncertainties (some of which are beyond our control) or other assumptions that may cause actual results or performance to be materially different from those expressed or implied by these forward-looking statements. Forward-looking statements in this report may include, for example, statements about:</w:t>
      </w:r>
    </w:p>
    <w:p>
      <w:pPr>
        <w:spacing w:after="0" w:line="105" w:lineRule="exact"/>
        <w:rPr>
          <w:sz w:val="20"/>
          <w:szCs w:val="20"/>
          <w:color w:val="auto"/>
        </w:rPr>
      </w:pPr>
    </w:p>
    <w:p>
      <w:pPr>
        <w:ind w:left="500" w:hanging="248"/>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future growth and achieve operational efficiencies;</w:t>
      </w:r>
    </w:p>
    <w:p>
      <w:pPr>
        <w:spacing w:after="0" w:line="129" w:lineRule="exact"/>
        <w:rPr>
          <w:rFonts w:ascii="Times New Roman" w:cs="Times New Roman" w:eastAsia="Times New Roman" w:hAnsi="Times New Roman"/>
          <w:sz w:val="14"/>
          <w:szCs w:val="14"/>
          <w:color w:val="auto"/>
        </w:rPr>
      </w:pPr>
    </w:p>
    <w:p>
      <w:pPr>
        <w:ind w:left="500" w:right="180" w:hanging="248"/>
        <w:spacing w:after="0" w:line="278" w:lineRule="auto"/>
        <w:tabs>
          <w:tab w:leader="none" w:pos="4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inability of us to operate our Electron Launch Vehicle (“Electron”) at its anticipated launch rate, including due to any government action related to launch failure and our ability to operate, could adversely impact our business, financial condition and results of operations;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develop our Neutron Launch Vehicle (“Neutron”) or significant delays in developing Neutron could adversely impact our business, financial condition and results of operations;</w:t>
      </w:r>
    </w:p>
    <w:p>
      <w:pPr>
        <w:spacing w:after="0" w:line="129"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utilize our launch pads at our private launch complex in Mahia, New Zealand or at NASA’s Wallops Flight Facility, at Wallops Island, Virginia with sufficient frequency to support our launch cadence and future related revenue growth expectations;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spacecraft, space systems or space system components failing to operate as intended could have a material adverse effect on our business, financial condition and results of operations;</w:t>
      </w:r>
    </w:p>
    <w:p>
      <w:pPr>
        <w:spacing w:after="0" w:line="129" w:lineRule="exact"/>
        <w:rPr>
          <w:rFonts w:ascii="Times New Roman" w:cs="Times New Roman" w:eastAsia="Times New Roman" w:hAnsi="Times New Roman"/>
          <w:sz w:val="14"/>
          <w:szCs w:val="14"/>
          <w:color w:val="auto"/>
        </w:rPr>
      </w:pPr>
    </w:p>
    <w:p>
      <w:pPr>
        <w:ind w:left="500" w:right="200" w:hanging="248"/>
        <w:spacing w:after="0" w:line="278" w:lineRule="auto"/>
        <w:tabs>
          <w:tab w:leader="none" w:pos="4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and highly regulated industries in which we operate, variations in operating performance across competitors, changes in laws and regulations affecting our business and changes in our capital structure;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policies, priorities, regulations, mandates or funding for programs in which we or our customers participate, which could negatively impact our business;</w:t>
      </w:r>
    </w:p>
    <w:p>
      <w:pPr>
        <w:spacing w:after="0" w:line="129" w:lineRule="exact"/>
        <w:rPr>
          <w:rFonts w:ascii="Times New Roman" w:cs="Times New Roman" w:eastAsia="Times New Roman" w:hAnsi="Times New Roman"/>
          <w:sz w:val="14"/>
          <w:szCs w:val="14"/>
          <w:color w:val="auto"/>
        </w:rPr>
      </w:pPr>
    </w:p>
    <w:p>
      <w:pPr>
        <w:ind w:left="500" w:right="160" w:hanging="248"/>
        <w:spacing w:after="0" w:line="278" w:lineRule="auto"/>
        <w:tabs>
          <w:tab w:leader="none" w:pos="4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or default by, one or more of our key customers or inability of customers to fund contractual commitments, which could result in a decline in future revenues, cancellation of contracted launches or space systems orders or termination or default of existing agreements;</w:t>
      </w:r>
    </w:p>
    <w:p>
      <w:pPr>
        <w:spacing w:after="0" w:line="84" w:lineRule="exact"/>
        <w:rPr>
          <w:rFonts w:ascii="Times New Roman" w:cs="Times New Roman" w:eastAsia="Times New Roman" w:hAnsi="Times New Roman"/>
          <w:sz w:val="14"/>
          <w:szCs w:val="14"/>
          <w:color w:val="auto"/>
        </w:rPr>
      </w:pPr>
    </w:p>
    <w:p>
      <w:pPr>
        <w:ind w:left="500" w:right="440" w:hanging="248"/>
        <w:spacing w:after="0" w:line="278" w:lineRule="auto"/>
        <w:tabs>
          <w:tab w:leader="none" w:pos="4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comply with, and costs associated with complying, any applicable regulations, and specifically, U.S. government contract regulations, which could result in loss of contract opportunities, contract modifications or termination, assessment of penalties and fines, and suspension or debarment from U.S. government contracting or subcontracting;</w:t>
      </w:r>
    </w:p>
    <w:p>
      <w:pPr>
        <w:spacing w:after="0" w:line="84" w:lineRule="exact"/>
        <w:rPr>
          <w:rFonts w:ascii="Times New Roman" w:cs="Times New Roman" w:eastAsia="Times New Roman" w:hAnsi="Times New Roman"/>
          <w:sz w:val="14"/>
          <w:szCs w:val="14"/>
          <w:color w:val="auto"/>
        </w:rPr>
      </w:pPr>
    </w:p>
    <w:p>
      <w:pPr>
        <w:ind w:left="500" w:right="420" w:hanging="248"/>
        <w:spacing w:after="0" w:line="278" w:lineRule="auto"/>
        <w:tabs>
          <w:tab w:leader="none" w:pos="4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retaining or recruiting, or changes required in, officers, key employees or directors, and our ability to attract and retain key personnel, including Peter Beck, our President, Chief Executive Officer and Chairman;</w:t>
      </w:r>
    </w:p>
    <w:p>
      <w:pPr>
        <w:spacing w:after="0" w:line="84" w:lineRule="exact"/>
        <w:rPr>
          <w:rFonts w:ascii="Times New Roman" w:cs="Times New Roman" w:eastAsia="Times New Roman" w:hAnsi="Times New Roman"/>
          <w:sz w:val="14"/>
          <w:szCs w:val="14"/>
          <w:color w:val="auto"/>
        </w:rPr>
      </w:pPr>
    </w:p>
    <w:p>
      <w:pPr>
        <w:ind w:left="500" w:right="380" w:hanging="248"/>
        <w:spacing w:after="0" w:line="278" w:lineRule="auto"/>
        <w:tabs>
          <w:tab w:leader="none" w:pos="4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or failure to protect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the supply of key raw materials or components used to produce our products or increases in prices of raw materials;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implement our business plans, forecasts and other expectations, including the integration of recently acquired businesses, and to identify and realize additional opportunities;</w:t>
      </w:r>
    </w:p>
    <w:p>
      <w:pPr>
        <w:spacing w:after="0" w:line="129"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diversion of management’s attention and consumption of resources as a result of acquisitions of other companies and success in integrating and otherwise achieving the benefits of recent and potential acquisitions;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effectively integrate or benefit from recently purchased assets or businesses;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inflation and interest rates;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of the war in Ukraine or Israel or other global conflicts;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exchange rates;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downturns in government and commercial launch services and spacecraft industries;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anticipate changes in the markets for rocket launch services, mission services, spacecraft and spacecraft components;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or failure to comply with contractual requirements or covenants;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adequate operational and financial resources or raise additional capital or generate sufficient cash flows;</w:t>
      </w:r>
    </w:p>
    <w:p>
      <w:pPr>
        <w:spacing w:after="0" w:line="129" w:lineRule="exact"/>
        <w:rPr>
          <w:rFonts w:ascii="Times New Roman" w:cs="Times New Roman" w:eastAsia="Times New Roman" w:hAnsi="Times New Roman"/>
          <w:sz w:val="14"/>
          <w:szCs w:val="14"/>
          <w:color w:val="auto"/>
        </w:rPr>
      </w:pPr>
    </w:p>
    <w:p>
      <w:pPr>
        <w:ind w:left="500" w:right="200" w:hanging="248"/>
        <w:spacing w:after="0" w:line="278" w:lineRule="auto"/>
        <w:tabs>
          <w:tab w:leader="none" w:pos="49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disruption in or unauthorized access to our computer systems or those of third parties that we utilize in our operations, including those relating to cybersecurity or arising from cyber-attacks; and</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of this prospectus titled “Risk Factors.”</w:t>
      </w:r>
    </w:p>
    <w:p>
      <w:pPr>
        <w:spacing w:after="0" w:line="130" w:lineRule="exact"/>
        <w:rPr>
          <w:sz w:val="20"/>
          <w:szCs w:val="20"/>
          <w:color w:val="auto"/>
        </w:rPr>
      </w:pPr>
    </w:p>
    <w:p>
      <w:pPr>
        <w:ind w:right="160" w:firstLine="249"/>
        <w:spacing w:after="0" w:line="262" w:lineRule="auto"/>
        <w:rPr>
          <w:sz w:val="20"/>
          <w:szCs w:val="20"/>
          <w:color w:val="auto"/>
        </w:rPr>
      </w:pPr>
      <w:r>
        <w:rPr>
          <w:rFonts w:ascii="Times New Roman" w:cs="Times New Roman" w:eastAsia="Times New Roman" w:hAnsi="Times New Roman"/>
          <w:sz w:val="14"/>
          <w:szCs w:val="14"/>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a global crises and/or any response to such a crisis and there may be additional risks that we consider immaterial or which are unknown. It is not possible to predict or identify all such risks. It is not possible to predict or identify all such risks.</w:t>
      </w:r>
    </w:p>
    <w:p>
      <w:pPr>
        <w:spacing w:after="0" w:line="96" w:lineRule="exact"/>
        <w:rPr>
          <w:sz w:val="20"/>
          <w:szCs w:val="20"/>
          <w:color w:val="auto"/>
        </w:rPr>
      </w:pPr>
    </w:p>
    <w:p>
      <w:pPr>
        <w:ind w:right="40" w:firstLine="249"/>
        <w:spacing w:after="0" w:line="255" w:lineRule="auto"/>
        <w:rPr>
          <w:sz w:val="20"/>
          <w:szCs w:val="20"/>
          <w:color w:val="auto"/>
        </w:rPr>
      </w:pPr>
      <w:r>
        <w:rPr>
          <w:rFonts w:ascii="Times New Roman" w:cs="Times New Roman" w:eastAsia="Times New Roman" w:hAnsi="Times New Roman"/>
          <w:sz w:val="14"/>
          <w:szCs w:val="14"/>
          <w:color w:val="auto"/>
        </w:rPr>
        <w:t>The forward-looking statements contained in this prospectus are based on information available to us at the time of this prospectus and current expectations, forecasts, assumptions and beliefs concerning future developments and their potential effects, and involve a number of judgments, risks and uncertainties. There can be no assurance that future developments affecting us will be those that we have anticipated.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20"/>
          </w:cols>
          <w:pgMar w:left="300" w:top="125"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Mission: We Open Access to Space to Improve Life on Earth.</w:t>
      </w:r>
    </w:p>
    <w:p>
      <w:pPr>
        <w:spacing w:after="0" w:line="130" w:lineRule="exact"/>
        <w:rPr>
          <w:sz w:val="20"/>
          <w:szCs w:val="20"/>
          <w:color w:val="auto"/>
        </w:rPr>
      </w:pPr>
    </w:p>
    <w:p>
      <w:pPr>
        <w:ind w:right="220" w:firstLine="249"/>
        <w:spacing w:after="0" w:line="257" w:lineRule="auto"/>
        <w:rPr>
          <w:sz w:val="20"/>
          <w:szCs w:val="20"/>
          <w:color w:val="auto"/>
        </w:rPr>
      </w:pPr>
      <w:r>
        <w:rPr>
          <w:rFonts w:ascii="Times New Roman" w:cs="Times New Roman" w:eastAsia="Times New Roman" w:hAnsi="Times New Roman"/>
          <w:sz w:val="14"/>
          <w:szCs w:val="14"/>
          <w:color w:val="auto"/>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 We believe that space has defined some of humanity’s greatest achievements and it continues to shape our future. We are motivated by the impact we can have on Earth by making it easier to get to space and to use it as a platform for innovation, exploration and infrastructure.</w:t>
      </w:r>
    </w:p>
    <w:p>
      <w:pPr>
        <w:spacing w:after="0" w:line="100" w:lineRule="exact"/>
        <w:rPr>
          <w:sz w:val="20"/>
          <w:szCs w:val="20"/>
          <w:color w:val="auto"/>
        </w:rPr>
      </w:pPr>
    </w:p>
    <w:p>
      <w:pPr>
        <w:ind w:firstLine="249"/>
        <w:spacing w:after="0" w:line="257" w:lineRule="auto"/>
        <w:rPr>
          <w:sz w:val="20"/>
          <w:szCs w:val="20"/>
          <w:color w:val="auto"/>
        </w:rPr>
      </w:pPr>
      <w:r>
        <w:rPr>
          <w:rFonts w:ascii="Times New Roman" w:cs="Times New Roman" w:eastAsia="Times New Roman" w:hAnsi="Times New Roman"/>
          <w:sz w:val="14"/>
          <w:szCs w:val="14"/>
          <w:color w:val="auto"/>
        </w:rPr>
        <w:t>We design and manufacture small and medium-class rockets, spacecraft and spacecraft components and related software and services to support the space economy. Our launch services are used to place spacecraft into Earth orbit and escape trajectories, and utilize orbital launch vehicles that place payloads into a variety of planes/inclinations and altitude trajectories. Our space systems solutions are the building blocks for spacecraft, which includes composite structures, reaction wheels, star trackers, solar power solutions, radios, separation systems, and command and control spacecraft software. Our family of spacecraft product lines is configurable for a range of low Earth orbit, medium Earth orbit, geosynchronous orbit and interplanetary missions.</w:t>
      </w:r>
    </w:p>
    <w:p>
      <w:pPr>
        <w:spacing w:after="0" w:line="100" w:lineRule="exact"/>
        <w:rPr>
          <w:sz w:val="20"/>
          <w:szCs w:val="20"/>
          <w:color w:val="auto"/>
        </w:rPr>
      </w:pPr>
    </w:p>
    <w:p>
      <w:pPr>
        <w:jc w:val="both"/>
        <w:ind w:right="120" w:firstLine="249"/>
        <w:spacing w:after="0" w:line="262" w:lineRule="auto"/>
        <w:rPr>
          <w:sz w:val="20"/>
          <w:szCs w:val="20"/>
          <w:color w:val="auto"/>
        </w:rPr>
      </w:pPr>
      <w:r>
        <w:rPr>
          <w:rFonts w:ascii="Times New Roman" w:cs="Times New Roman" w:eastAsia="Times New Roman" w:hAnsi="Times New Roman"/>
          <w:sz w:val="14"/>
          <w:szCs w:val="14"/>
          <w:color w:val="auto"/>
        </w:rPr>
        <w:t>Our corporate headquarters are located at 3881 McGowen Street, Long Beach, California 90808, and our telephone number is (714) 465-5737. Our website is located at www.rocketlabusa.com. We do not incorporate the information on or accessible through our website into this prospectus, and you should not consider any information on, or that can be accessed through, our website as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60"/>
          </w:cols>
          <w:pgMar w:left="300" w:top="1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2" w:lineRule="exact"/>
        <w:rPr>
          <w:sz w:val="20"/>
          <w:szCs w:val="20"/>
          <w:color w:val="auto"/>
        </w:rPr>
      </w:pPr>
    </w:p>
    <w:p>
      <w:pPr>
        <w:ind w:firstLine="249"/>
        <w:spacing w:after="0" w:line="278"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620"/>
          </w:cols>
          <w:pgMar w:left="300" w:top="125" w:right="9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30" w:lineRule="exact"/>
        <w:rPr>
          <w:sz w:val="20"/>
          <w:szCs w:val="20"/>
          <w:color w:val="auto"/>
        </w:rPr>
      </w:pPr>
    </w:p>
    <w:p>
      <w:pPr>
        <w:ind w:firstLine="249"/>
        <w:spacing w:after="0" w:line="256" w:lineRule="auto"/>
        <w:rPr>
          <w:sz w:val="20"/>
          <w:szCs w:val="20"/>
          <w:color w:val="auto"/>
        </w:rPr>
      </w:pPr>
      <w:r>
        <w:rPr>
          <w:rFonts w:ascii="Times New Roman" w:cs="Times New Roman" w:eastAsia="Times New Roman" w:hAnsi="Times New Roman"/>
          <w:sz w:val="14"/>
          <w:szCs w:val="14"/>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(the “Certificate of Incorporation”), our amended and restated bylaws (the “Bylaws”) and the certificate of designation for the Series A Preferred Stock (the “Certificate of Designation”), which are exhibits to the registration statement of which this prospectus forms a part, and by applicable law. The terms of our common stock and preferred stock may also be affected by Delaware law.</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Certificate of Incorporation authorizes the issuance of 2,500,000,000 shares of common stock, $0.0001 par value per share and 100,000,000 shares of preferred stock, $0.0001 par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2" w:lineRule="exact"/>
        <w:rPr>
          <w:sz w:val="20"/>
          <w:szCs w:val="20"/>
          <w:color w:val="auto"/>
        </w:rPr>
      </w:pPr>
    </w:p>
    <w:p>
      <w:pPr>
        <w:ind w:right="80" w:firstLine="249"/>
        <w:spacing w:after="0" w:line="278" w:lineRule="auto"/>
        <w:rPr>
          <w:sz w:val="20"/>
          <w:szCs w:val="20"/>
          <w:color w:val="auto"/>
        </w:rPr>
      </w:pPr>
      <w:r>
        <w:rPr>
          <w:rFonts w:ascii="Times New Roman" w:cs="Times New Roman" w:eastAsia="Times New Roman" w:hAnsi="Times New Roman"/>
          <w:sz w:val="14"/>
          <w:szCs w:val="14"/>
          <w:color w:val="auto"/>
        </w:rPr>
        <w:t>Each share of our common stock entitles the holder thereof to one vote on all matters submitted to a vote of the shareholders, including the election of directors, and does not have cumulative voting rights. Accordingly, the holders of a majority of the shares of common stock entitled to vote in any election of directors can elect all of the directors standing for election.</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32" w:lineRule="exact"/>
        <w:rPr>
          <w:sz w:val="20"/>
          <w:szCs w:val="20"/>
          <w:color w:val="auto"/>
        </w:rPr>
      </w:pPr>
    </w:p>
    <w:p>
      <w:pPr>
        <w:ind w:right="80" w:firstLine="249"/>
        <w:spacing w:after="0" w:line="278"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the holders of our common stock are entitled to receive dividends, if any, as may be declared from time to time by our Board of Directors (the “Board”) out of legally available funds.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Rights upon liquidation</w:t>
      </w:r>
    </w:p>
    <w:p>
      <w:pPr>
        <w:spacing w:after="0" w:line="132" w:lineRule="exact"/>
        <w:rPr>
          <w:sz w:val="20"/>
          <w:szCs w:val="20"/>
          <w:color w:val="auto"/>
        </w:rPr>
      </w:pPr>
    </w:p>
    <w:p>
      <w:pPr>
        <w:ind w:right="320" w:firstLine="249"/>
        <w:spacing w:after="0" w:line="278"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will be entitled to share ratably in the net assets legally available for distribution to shareholders after the payment of all of our debts and other liabilities, subject to the satisfaction of any liquidation preference granted to the holders of any outstanding shares of preferred stock.</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32" w:lineRule="exact"/>
        <w:rPr>
          <w:sz w:val="20"/>
          <w:szCs w:val="20"/>
          <w:color w:val="auto"/>
        </w:rPr>
      </w:pPr>
    </w:p>
    <w:p>
      <w:pPr>
        <w:ind w:right="80" w:firstLine="249"/>
        <w:spacing w:after="0" w:line="262" w:lineRule="auto"/>
        <w:rPr>
          <w:sz w:val="20"/>
          <w:szCs w:val="20"/>
          <w:color w:val="auto"/>
        </w:rPr>
      </w:pPr>
      <w:r>
        <w:rPr>
          <w:rFonts w:ascii="Times New Roman" w:cs="Times New Roman" w:eastAsia="Times New Roman" w:hAnsi="Times New Roman"/>
          <w:sz w:val="14"/>
          <w:szCs w:val="14"/>
          <w:color w:val="auto"/>
        </w:rPr>
        <w:t>No holders of our common stock will be entitled to preemptive, conversion, or subscription rights contained in the Certificate of Incorporation or Bylaws. There are no redemption or sinking fund provisions applicable to the common stock. The rights, preferences, and privileges of the holders of our common stock are subject to, and may be adversely affected by, the rights of the holders of shares of any series of preferred stock that may be designated and issued in the future.</w:t>
      </w:r>
    </w:p>
    <w:p>
      <w:pPr>
        <w:spacing w:after="0" w:line="94" w:lineRule="exact"/>
        <w:rPr>
          <w:sz w:val="20"/>
          <w:szCs w:val="20"/>
          <w:color w:val="auto"/>
        </w:rPr>
      </w:pPr>
    </w:p>
    <w:p>
      <w:pPr>
        <w:jc w:val="center"/>
        <w:ind w:right="1032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141" w:lineRule="exact"/>
        <w:rPr>
          <w:sz w:val="20"/>
          <w:szCs w:val="20"/>
          <w:color w:val="auto"/>
        </w:rPr>
      </w:pPr>
    </w:p>
    <w:p>
      <w:pPr>
        <w:jc w:val="center"/>
        <w:ind w:right="1030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32" w:lineRule="exact"/>
        <w:rPr>
          <w:sz w:val="20"/>
          <w:szCs w:val="20"/>
          <w:color w:val="auto"/>
        </w:rPr>
      </w:pPr>
    </w:p>
    <w:p>
      <w:pPr>
        <w:jc w:val="both"/>
        <w:ind w:right="140" w:firstLine="249"/>
        <w:spacing w:after="0" w:line="262" w:lineRule="auto"/>
        <w:rPr>
          <w:sz w:val="20"/>
          <w:szCs w:val="20"/>
          <w:color w:val="auto"/>
        </w:rPr>
      </w:pPr>
      <w:r>
        <w:rPr>
          <w:rFonts w:ascii="Times New Roman" w:cs="Times New Roman" w:eastAsia="Times New Roman" w:hAnsi="Times New Roman"/>
          <w:sz w:val="14"/>
          <w:szCs w:val="14"/>
          <w:color w:val="auto"/>
        </w:rPr>
        <w:t>Under the Certificate of Incorporation, the Board has the authority, without further action by the stockholders, to issue up to 100,000,000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96" w:lineRule="exact"/>
        <w:rPr>
          <w:sz w:val="20"/>
          <w:szCs w:val="20"/>
          <w:color w:val="auto"/>
        </w:rPr>
      </w:pPr>
    </w:p>
    <w:p>
      <w:pPr>
        <w:ind w:right="40" w:firstLine="249"/>
        <w:spacing w:after="0" w:line="278" w:lineRule="auto"/>
        <w:rPr>
          <w:sz w:val="20"/>
          <w:szCs w:val="20"/>
          <w:color w:val="auto"/>
        </w:rPr>
      </w:pPr>
      <w:r>
        <w:rPr>
          <w:rFonts w:ascii="Times New Roman" w:cs="Times New Roman" w:eastAsia="Times New Roman" w:hAnsi="Times New Roman"/>
          <w:sz w:val="14"/>
          <w:szCs w:val="14"/>
          <w:color w:val="auto"/>
        </w:rPr>
        <w:t>The Board may authorize the issuance of preferred stock with voting or conversion rights that could adversely affect the voting power or other rights of the holders of common stock. The issuance of preferred stock, while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60"/>
          </w:cols>
          <w:pgMar w:left="300" w:top="1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our common stock.</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prospectus supplement relating to any series of preferred stock being offered will include specific terms relating to the offering. They will include, where applicable:</w:t>
      </w:r>
    </w:p>
    <w:p>
      <w:pPr>
        <w:spacing w:after="0" w:line="130" w:lineRule="exact"/>
        <w:rPr>
          <w:sz w:val="20"/>
          <w:szCs w:val="20"/>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 number of shares we are offering;</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per share;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period and payment date and method of calculation for dividends;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will be cumulative or non-cumulative and, if cumulative, the date from which dividends will accumulate;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any;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any;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redemption or repurchase, if applicable, and any restrictions on our ability to exercise those redemption and repurchase rights;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stock on any securities exchange or market;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exchangeable into debt securities, and, if applicable, the exchange price, or how it will be calculated, and the exchange period;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if any, of the preferred stock;</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the preferred stock will be represented by depositary shares;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United States federal income tax considerations applicable to the preferred stock;</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the preferred stock as to dividend rights and rights if we liquidate, dissolve or wind up our affairs;</w:t>
      </w:r>
    </w:p>
    <w:p>
      <w:pPr>
        <w:spacing w:after="0" w:line="129" w:lineRule="exact"/>
        <w:rPr>
          <w:rFonts w:ascii="Times New Roman" w:cs="Times New Roman" w:eastAsia="Times New Roman" w:hAnsi="Times New Roman"/>
          <w:sz w:val="14"/>
          <w:szCs w:val="14"/>
          <w:color w:val="auto"/>
        </w:rPr>
      </w:pPr>
    </w:p>
    <w:p>
      <w:pPr>
        <w:ind w:left="500" w:hanging="248"/>
        <w:spacing w:after="0" w:line="278" w:lineRule="auto"/>
        <w:tabs>
          <w:tab w:leader="none" w:pos="4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preferred stock.</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132" w:lineRule="exact"/>
        <w:rPr>
          <w:sz w:val="20"/>
          <w:szCs w:val="20"/>
          <w:color w:val="auto"/>
        </w:rPr>
      </w:pPr>
    </w:p>
    <w:p>
      <w:pPr>
        <w:ind w:right="120" w:firstLine="249"/>
        <w:spacing w:after="0" w:line="262" w:lineRule="auto"/>
        <w:rPr>
          <w:sz w:val="20"/>
          <w:szCs w:val="20"/>
          <w:color w:val="auto"/>
        </w:rPr>
      </w:pPr>
      <w:r>
        <w:rPr>
          <w:rFonts w:ascii="Times New Roman" w:cs="Times New Roman" w:eastAsia="Times New Roman" w:hAnsi="Times New Roman"/>
          <w:sz w:val="14"/>
          <w:szCs w:val="14"/>
          <w:color w:val="auto"/>
        </w:rPr>
        <w:t>On December 3, 2024, we entered into an exchange agreement with The Equatorial Trust (the “Trust”), a family trust established by Sir Peter Beck (“Sir Peter”), our Founder, President, Chief Executive Officer and Chairman, to exchange 50,951,250 shares of our common stock into 50,951,250 shares of our Series A Convertible Participating Preferred Stock, $0.0001 par value per share (the “Series A Preferred Stock”). On January 7, 2025,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60"/>
          </w:cols>
          <w:pgMar w:left="300" w:top="1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4"/>
          <w:szCs w:val="14"/>
          <w:color w:val="auto"/>
        </w:rPr>
        <w:t>was consummated and we filed the Certificate of Designation with the Secretary of State of the State of Delaware, which became effective upon filing. At the Closing, we issued 50,951,250 shares of Series A Preferred Stock to the Trust. The terms of the Series A Preferred Stock are described in further detail below.</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Conversion Rights; Conversion Rate Adjustments</w:t>
      </w:r>
    </w:p>
    <w:p>
      <w:pPr>
        <w:spacing w:after="0" w:line="132" w:lineRule="exact"/>
        <w:rPr>
          <w:sz w:val="20"/>
          <w:szCs w:val="20"/>
          <w:color w:val="auto"/>
        </w:rPr>
      </w:pPr>
    </w:p>
    <w:p>
      <w:pPr>
        <w:jc w:val="both"/>
        <w:ind w:right="140" w:firstLine="249"/>
        <w:spacing w:after="0" w:line="274" w:lineRule="auto"/>
        <w:rPr>
          <w:sz w:val="20"/>
          <w:szCs w:val="20"/>
          <w:color w:val="auto"/>
        </w:rPr>
      </w:pPr>
      <w:r>
        <w:rPr>
          <w:rFonts w:ascii="Times New Roman" w:cs="Times New Roman" w:eastAsia="Times New Roman" w:hAnsi="Times New Roman"/>
          <w:sz w:val="13"/>
          <w:szCs w:val="13"/>
          <w:color w:val="auto"/>
        </w:rPr>
        <w:t>Pursuant to the terms of the Certificate of Designation, each share of Series A Preferred Stock will be convertible at any time at the option of the holder of the Series A Preferred Stock (a “Holder”) into a number of shares of common stock at the then-applicable conversion rate (the “Conversion Rate”). In addition, each share of Series A Preferred Stock will automatically convert into a number of shares of common stock at the Conversion Rate upon the earliest to occur of (a) a transfer of such share (other than to a Permitted Transferee), (b) the first date on which Sir Peter no longer serves as</w:t>
      </w:r>
    </w:p>
    <w:p>
      <w:pPr>
        <w:spacing w:after="0" w:line="2" w:lineRule="exact"/>
        <w:rPr>
          <w:sz w:val="20"/>
          <w:szCs w:val="20"/>
          <w:color w:val="auto"/>
        </w:rPr>
      </w:pPr>
    </w:p>
    <w:p>
      <w:pPr>
        <w:ind w:firstLine="3"/>
        <w:spacing w:after="0" w:line="251" w:lineRule="auto"/>
        <w:tabs>
          <w:tab w:leader="none" w:pos="16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Chief Executive Officer or (ii) such other executive officer position of us as approved by the Board, (c) Sir Peter’s death or permanent disability, or (d) the first date on which the outstanding shares of Series A Preferred Stock no longer represent a minimum beneficial ownership by Sir Peter of five percent. A “Permitted Transferee” is defined in the Certificate of Designation and includes Sir Peter and his controlled affiliates. The Series A Series A Preferred Stock is not redeemable by us at any time.</w:t>
      </w:r>
    </w:p>
    <w:p>
      <w:pPr>
        <w:spacing w:after="0" w:line="103" w:lineRule="exact"/>
        <w:rPr>
          <w:sz w:val="20"/>
          <w:szCs w:val="20"/>
          <w:color w:val="auto"/>
        </w:rPr>
      </w:pPr>
    </w:p>
    <w:p>
      <w:pPr>
        <w:ind w:right="60" w:firstLine="249"/>
        <w:spacing w:after="0" w:line="257" w:lineRule="auto"/>
        <w:rPr>
          <w:sz w:val="20"/>
          <w:szCs w:val="20"/>
          <w:color w:val="auto"/>
        </w:rPr>
      </w:pPr>
      <w:r>
        <w:rPr>
          <w:rFonts w:ascii="Times New Roman" w:cs="Times New Roman" w:eastAsia="Times New Roman" w:hAnsi="Times New Roman"/>
          <w:sz w:val="14"/>
          <w:szCs w:val="14"/>
          <w:color w:val="auto"/>
        </w:rPr>
        <w:t>The initial Conversion Rate for each share of Series A Preferred Stock is one share of common stock, and is subject to adjustment, including for stock dividends, distributions, stock splits and stock combinations. In addition, if we (a) issue securities entitling the holder thereof to acquire common stock or (b) declare or make any dividend or other distribution of our assets, a Holder will be entitled to participate to the same extent if the Holder had held the number of shares of common stock acquirable upon conversion of such Holder’s Series A Preferred Stock. The Certificate of Designation also contains customary protections in the event of changes in common stock as a result of certain fundamental change transactions.</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Director Designation Right</w:t>
      </w:r>
    </w:p>
    <w:p>
      <w:pPr>
        <w:spacing w:after="0" w:line="132"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The Certificate of Designation provides that, so long as any shares of Series A Preferred Stock are outstanding, the Holders, voting exclusively and as a separate class, will be entitled to designate and elect at least one individual to serve on the Board as a director (a “Series A Preferred Stock Director”). The initial Series A Preferred Stock Director is Sir Peter. Sir Peter will serve an initial term that expires at our annual meeting of stockholders in 2027.</w:t>
      </w:r>
    </w:p>
    <w:p>
      <w:pPr>
        <w:spacing w:after="0" w:line="96" w:lineRule="exact"/>
        <w:rPr>
          <w:sz w:val="20"/>
          <w:szCs w:val="20"/>
          <w:color w:val="auto"/>
        </w:rPr>
      </w:pPr>
    </w:p>
    <w:p>
      <w:pPr>
        <w:ind w:right="20" w:firstLine="249"/>
        <w:spacing w:after="0" w:line="255" w:lineRule="auto"/>
        <w:rPr>
          <w:sz w:val="20"/>
          <w:szCs w:val="20"/>
          <w:color w:val="auto"/>
        </w:rPr>
      </w:pPr>
      <w:r>
        <w:rPr>
          <w:rFonts w:ascii="Times New Roman" w:cs="Times New Roman" w:eastAsia="Times New Roman" w:hAnsi="Times New Roman"/>
          <w:sz w:val="14"/>
          <w:szCs w:val="14"/>
          <w:color w:val="auto"/>
        </w:rPr>
        <w:t>In the event the Board increases its size to more than ten members, the Holders will be entitled to designate and elect, voting exclusively and as a separate class, one or more additional Series A Preferred Stock Directors in order to maintain the right to elect ten percent of the total number of authorized directorships, rounded up to the nearest whole number. Additional Series A Preferred Stock Directors will serve for an initial term fixed by the Board. After the initial term of a Series A Preferred Stock Director has expired, his or her successor shall be elected for a term expiring at the third annual meeting following his or her election, unless such term expires sooner. A Series A Preferred Stock Director will serve until the earlier of: (a) his or her successor being elected and qualified, (b) his or her earlier death, disability, retirement, resignation or removal or (c) such time as the size of the Board is automatically reduced.</w:t>
      </w:r>
    </w:p>
    <w:p>
      <w:pPr>
        <w:spacing w:after="0" w:line="100" w:lineRule="exact"/>
        <w:rPr>
          <w:sz w:val="20"/>
          <w:szCs w:val="20"/>
          <w:color w:val="auto"/>
        </w:rPr>
      </w:pPr>
    </w:p>
    <w:p>
      <w:pPr>
        <w:ind w:right="240" w:firstLine="249"/>
        <w:spacing w:after="0" w:line="253" w:lineRule="auto"/>
        <w:rPr>
          <w:sz w:val="20"/>
          <w:szCs w:val="20"/>
          <w:color w:val="auto"/>
        </w:rPr>
      </w:pPr>
      <w:r>
        <w:rPr>
          <w:rFonts w:ascii="Times New Roman" w:cs="Times New Roman" w:eastAsia="Times New Roman" w:hAnsi="Times New Roman"/>
          <w:sz w:val="14"/>
          <w:szCs w:val="14"/>
          <w:color w:val="auto"/>
        </w:rPr>
        <w:t>To be eligible for election as a Series A Preferred Stock Director, a nominee (other than Sir Peter) must: (a) satisfy all requirements regarding service as a director of us under applicable law and regulation and our bylaws, (b) not be an immediate family member of Sir Peter or any Holder, (c) be independent of each Holder, and (d) have served on the board of directors of at least one publicly traded corporation, in the United States or elsewhere, within the last five years, or is otherwise well qualified in the reasonable judgment of the Board. The Series A Preferred Stock Director may be removed at any time as a director on the Board (without cause) upon the written request of the Holders by the affirmative vote of the holders of at least a majority of the outstanding shares of Series A Preferred Stock at the time and with each share of Series A Preferred Stock entitled to one vote. At the first annual meeting of our stockholders held after such time as there are no shares of Series A Preferred Stock outstanding, the director designation and election rights will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32" w:lineRule="exact"/>
        <w:rPr>
          <w:sz w:val="20"/>
          <w:szCs w:val="20"/>
          <w:color w:val="auto"/>
        </w:rPr>
      </w:pPr>
    </w:p>
    <w:p>
      <w:pPr>
        <w:ind w:right="140" w:firstLine="249"/>
        <w:spacing w:after="0" w:line="262" w:lineRule="auto"/>
        <w:rPr>
          <w:sz w:val="20"/>
          <w:szCs w:val="20"/>
          <w:color w:val="auto"/>
        </w:rPr>
      </w:pPr>
      <w:r>
        <w:rPr>
          <w:rFonts w:ascii="Times New Roman" w:cs="Times New Roman" w:eastAsia="Times New Roman" w:hAnsi="Times New Roman"/>
          <w:sz w:val="14"/>
          <w:szCs w:val="14"/>
          <w:color w:val="auto"/>
        </w:rPr>
        <w:t>The Series A Preferred Stock is not entitled to any scheduled dividend payments. Holders will be entitled to receive dividends on shares of Series A Preferred Stock equal (on an as-if-converted-to-Common-Stock basis) to, and in the same form as dividends actually paid on, all or substantially all of the shares of common stock when, as and if such dividends (other than dividends in the form of common stock) are paid on shares of the common stock, subject to certain exceptions specified in the Certificate of Designation.</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132" w:lineRule="exact"/>
        <w:rPr>
          <w:sz w:val="20"/>
          <w:szCs w:val="20"/>
          <w:color w:val="auto"/>
        </w:rPr>
      </w:pPr>
    </w:p>
    <w:p>
      <w:pPr>
        <w:jc w:val="both"/>
        <w:ind w:right="120" w:firstLine="249"/>
        <w:spacing w:after="0" w:line="292" w:lineRule="auto"/>
        <w:rPr>
          <w:sz w:val="20"/>
          <w:szCs w:val="20"/>
          <w:color w:val="auto"/>
        </w:rPr>
      </w:pPr>
      <w:r>
        <w:rPr>
          <w:rFonts w:ascii="Times New Roman" w:cs="Times New Roman" w:eastAsia="Times New Roman" w:hAnsi="Times New Roman"/>
          <w:sz w:val="13"/>
          <w:szCs w:val="13"/>
          <w:color w:val="auto"/>
        </w:rPr>
        <w:t>Upon any liquidation, dissolution or winding-up of us, whether voluntary or involuntary, after the satisfaction in full of our debts and the payment of any liquidation preference ranking senior to the Series A Preferred Stock, Holders will be entitled to receive an amount equal to $0.0001 per share of Series A Preferred Stock. Following the payment of the full amount of the liquidation preference in respect of all outstanding shares of Series A Preferred Stock, Holders participate pari passu with the holders of the common stock (on an as-if-converted-to-common-stock basis) in our net assets.</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Voting and Consent Rights</w:t>
      </w:r>
    </w:p>
    <w:p>
      <w:pPr>
        <w:spacing w:after="0" w:line="132" w:lineRule="exact"/>
        <w:rPr>
          <w:sz w:val="20"/>
          <w:szCs w:val="20"/>
          <w:color w:val="auto"/>
        </w:rPr>
      </w:pPr>
    </w:p>
    <w:p>
      <w:pPr>
        <w:ind w:right="100" w:firstLine="249"/>
        <w:spacing w:after="0" w:line="255" w:lineRule="auto"/>
        <w:rPr>
          <w:sz w:val="20"/>
          <w:szCs w:val="20"/>
          <w:color w:val="auto"/>
        </w:rPr>
      </w:pPr>
      <w:r>
        <w:rPr>
          <w:rFonts w:ascii="Times New Roman" w:cs="Times New Roman" w:eastAsia="Times New Roman" w:hAnsi="Times New Roman"/>
          <w:sz w:val="14"/>
          <w:szCs w:val="14"/>
          <w:color w:val="auto"/>
        </w:rPr>
        <w:t>The Series A Preferred Stock will have the right to vote on all matters submitted for a vote of the holders of the common stock, voting together as a single class with the common stock. Each Holder will be entitled to cast a number of votes per share equal to the number of shares of common stock into which a share of Series A Preferred Stock is convertible. In addition, we may not, without the affirmative vote of the Holders of a majority of the then outstanding shares of Series A Preferred Stock: (a) alter, amend or repeal any provision of our Certificate of Incorporation if it would alter or change the powers, preferences or special rights of the Series A Preferred Stock so as to affect them adversely, (b) alter, amend, or repeal the Certificate of Designation, or (c) increase the authorized number of shares of Series A Preferred Stock or authorize the issuance of additional shares of Series A Preferred Stock.</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Election of Directors and Vacancies</w:t>
      </w:r>
    </w:p>
    <w:p>
      <w:pPr>
        <w:spacing w:after="0" w:line="132" w:lineRule="exact"/>
        <w:rPr>
          <w:sz w:val="20"/>
          <w:szCs w:val="20"/>
          <w:color w:val="auto"/>
        </w:rPr>
      </w:pPr>
    </w:p>
    <w:p>
      <w:pPr>
        <w:ind w:right="20" w:firstLine="249"/>
        <w:spacing w:after="0" w:line="262" w:lineRule="auto"/>
        <w:rPr>
          <w:sz w:val="20"/>
          <w:szCs w:val="20"/>
          <w:color w:val="auto"/>
        </w:rPr>
      </w:pPr>
      <w:r>
        <w:rPr>
          <w:rFonts w:ascii="Times New Roman" w:cs="Times New Roman" w:eastAsia="Times New Roman" w:hAnsi="Times New Roman"/>
          <w:sz w:val="14"/>
          <w:szCs w:val="14"/>
          <w:color w:val="auto"/>
        </w:rPr>
        <w:t>Subject to the rights of any series of preferred stock then outstanding to elect additional directors under specified circumstances, the directors on the Board will be divided, with respect to the time for which they severally hold office, into three classes designated as Class I, Class II and Class III, respectively. At each annual meeting of stockholders, directors elected to succeed those directors whose terms expire shall be elected for a term of office to expire at the third succeeding annual meeting of stockholders after their election.</w:t>
      </w:r>
    </w:p>
    <w:p>
      <w:pPr>
        <w:spacing w:after="0" w:line="96" w:lineRule="exact"/>
        <w:rPr>
          <w:sz w:val="20"/>
          <w:szCs w:val="20"/>
          <w:color w:val="auto"/>
        </w:rPr>
      </w:pPr>
    </w:p>
    <w:p>
      <w:pPr>
        <w:ind w:right="100" w:firstLine="249"/>
        <w:spacing w:after="0" w:line="278" w:lineRule="auto"/>
        <w:rPr>
          <w:sz w:val="20"/>
          <w:szCs w:val="20"/>
          <w:color w:val="auto"/>
        </w:rPr>
      </w:pPr>
      <w:r>
        <w:rPr>
          <w:rFonts w:ascii="Times New Roman" w:cs="Times New Roman" w:eastAsia="Times New Roman" w:hAnsi="Times New Roman"/>
          <w:sz w:val="14"/>
          <w:szCs w:val="14"/>
          <w:color w:val="auto"/>
        </w:rPr>
        <w:t>Under the Bylaws, except as may be required in the Certificate of Incorporation, directors shall be elected by a plurality of the votes cast by the holders of the shares present in person or represented by proxy at the meeting and entitled to vote on the election of directors.</w:t>
      </w:r>
    </w:p>
    <w:p>
      <w:pPr>
        <w:spacing w:after="0" w:line="84"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Each director shall hold office until the annual meeting at which such director’s term expires and until such director’s successor is elected and qualified or until such director’s earlier death, resignation, or removal. Subject to the rights of holders of any series of preferred stock to elect directors, directors may be removed only as provided by the Certificate of Incorporation and applicable law. All vacancies occurring on the Board and any newly created directorships resulting from any increase in the authorized number of directors shall be filled in the manner set forth below.</w:t>
      </w:r>
    </w:p>
    <w:p>
      <w:pPr>
        <w:spacing w:after="0" w:line="96" w:lineRule="exact"/>
        <w:rPr>
          <w:sz w:val="20"/>
          <w:szCs w:val="20"/>
          <w:color w:val="auto"/>
        </w:rPr>
      </w:pPr>
    </w:p>
    <w:p>
      <w:pPr>
        <w:ind w:right="80" w:firstLine="249"/>
        <w:spacing w:after="0" w:line="255" w:lineRule="auto"/>
        <w:rPr>
          <w:sz w:val="20"/>
          <w:szCs w:val="20"/>
          <w:color w:val="auto"/>
        </w:rPr>
      </w:pPr>
      <w:r>
        <w:rPr>
          <w:rFonts w:ascii="Times New Roman" w:cs="Times New Roman" w:eastAsia="Times New Roman" w:hAnsi="Times New Roman"/>
          <w:sz w:val="14"/>
          <w:szCs w:val="14"/>
          <w:color w:val="auto"/>
        </w:rPr>
        <w:t>Subject to the rights, if any, of the holders of any series of preferred stock then outstanding to elect directors and to fill vacancies in the Board relating thereto, any and all vacancies in the Board, however occurring, including, without limitation, by reason of an increase in the size of the Board, or the death, resignation, disqualification or removal of a director, shall be filled solely and exclusively by the affirmative vote of a majority of the remaining directors then in office, even if less than a quorum of the Board,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of the holders of any series of preferred stock then outstanding to elect directors, when the number of directors is increased or decreased, the Board shall, subject to the Certificate of Incorporation, determine the class or classes to which the increased or decreased number of directors shall be apportioned; provided, however, that no decrease in the number of directors shall shorten the term of any incumbent director. In the event of a vacancy in the Board, the remaining directors, except as otherwise provided by law, shall exercise the powers of the full Board until the vacancy is filled.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Quorum</w:t>
      </w:r>
    </w:p>
    <w:p>
      <w:pPr>
        <w:spacing w:after="0" w:line="132" w:lineRule="exact"/>
        <w:rPr>
          <w:sz w:val="20"/>
          <w:szCs w:val="20"/>
          <w:color w:val="auto"/>
        </w:rPr>
      </w:pPr>
    </w:p>
    <w:p>
      <w:pPr>
        <w:ind w:right="40" w:firstLine="249"/>
        <w:spacing w:after="0" w:line="255" w:lineRule="auto"/>
        <w:rPr>
          <w:sz w:val="20"/>
          <w:szCs w:val="20"/>
          <w:color w:val="auto"/>
        </w:rPr>
      </w:pPr>
      <w:r>
        <w:rPr>
          <w:rFonts w:ascii="Times New Roman" w:cs="Times New Roman" w:eastAsia="Times New Roman" w:hAnsi="Times New Roman"/>
          <w:sz w:val="14"/>
          <w:szCs w:val="14"/>
          <w:color w:val="auto"/>
        </w:rPr>
        <w:t>Except as otherwise provided by applicable law, the Certificate of Incorporation or the Bylaws, at each meeting of stockholders the holders of a majority of the voting power of the shares of stock issued and outstanding and entitled to vote at the meeting, present in person or represented by proxy, shall constitute a quorum for the transaction of business. If less than a quorum is present at a meeting, the stockholders representing a majority of the voting power present at the meeting or the presiding officer may adjourn the meeting from time to time, and the meeting may be held as adjourned without further notice.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is listed on Nasdaq under the symbol “RKLB.”</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transfer agent and registrar for the common stock is Equiniti Trust Company, LLC.</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the Certificate of Incorporation and the Bylaws</w:t>
      </w:r>
    </w:p>
    <w:p>
      <w:pPr>
        <w:spacing w:after="0" w:line="132" w:lineRule="exact"/>
        <w:rPr>
          <w:sz w:val="20"/>
          <w:szCs w:val="20"/>
          <w:color w:val="auto"/>
        </w:rPr>
      </w:pPr>
    </w:p>
    <w:p>
      <w:pPr>
        <w:ind w:firstLine="249"/>
        <w:spacing w:after="0" w:line="257" w:lineRule="auto"/>
        <w:rPr>
          <w:sz w:val="20"/>
          <w:szCs w:val="20"/>
          <w:color w:val="auto"/>
        </w:rPr>
      </w:pPr>
      <w:r>
        <w:rPr>
          <w:rFonts w:ascii="Times New Roman" w:cs="Times New Roman" w:eastAsia="Times New Roman" w:hAnsi="Times New Roman"/>
          <w:sz w:val="14"/>
          <w:szCs w:val="14"/>
          <w:color w:val="auto"/>
        </w:rPr>
        <w:t>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our Board, which we believe may result in an improvement of the terms of any such acquisition in favor of our stockholders. However, they also give the board of directors the power to discourage acquisitions that some stockholders may favor.</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32" w:lineRule="exact"/>
        <w:rPr>
          <w:sz w:val="20"/>
          <w:szCs w:val="20"/>
          <w:color w:val="auto"/>
        </w:rPr>
      </w:pPr>
    </w:p>
    <w:p>
      <w:pPr>
        <w:ind w:right="20" w:firstLine="249"/>
        <w:spacing w:after="0" w:line="262"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96"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may be to enable our Board to issue shares to persons friendly to current management, which issuance could render more difficult or discourage an attempt to obtain control of our Company by means of a merger, tender offer, proxy contest or otherwise and thereby protect the continuity of management and possibly deprive stockholders of opportunities to sell their shares of common stock at prices higher than prevailing market prices.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Special Meeting, Action by Written Consent and Advance Notice Requirements for Stockholder Proposals</w:t>
      </w:r>
    </w:p>
    <w:p>
      <w:pPr>
        <w:spacing w:after="0" w:line="132" w:lineRule="exact"/>
        <w:rPr>
          <w:sz w:val="20"/>
          <w:szCs w:val="20"/>
          <w:color w:val="auto"/>
        </w:rPr>
      </w:pPr>
    </w:p>
    <w:p>
      <w:pPr>
        <w:ind w:right="40" w:firstLine="249"/>
        <w:spacing w:after="0" w:line="262" w:lineRule="auto"/>
        <w:rPr>
          <w:sz w:val="20"/>
          <w:szCs w:val="20"/>
          <w:color w:val="auto"/>
        </w:rPr>
      </w:pPr>
      <w:r>
        <w:rPr>
          <w:rFonts w:ascii="Times New Roman" w:cs="Times New Roman" w:eastAsia="Times New Roman" w:hAnsi="Times New Roman"/>
          <w:sz w:val="14"/>
          <w:szCs w:val="14"/>
          <w:color w:val="auto"/>
        </w:rPr>
        <w:t>The Certificate of Incorporation provides that holders of our common stock may not take action by written consent, but may only take action at annual or special meetings of our stockholders. As a result, a holder controlling a majority of our capital stock would not be able to amend the Bylaws or remove directors without holding a meeting of our stockholders called in accordance with the Bylaws. The Bylaws further provide that special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4"/>
          <w:szCs w:val="14"/>
          <w:color w:val="auto"/>
        </w:rPr>
        <w:t>of our stockholders may be called only by a majority of our Board,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84" w:lineRule="exact"/>
        <w:rPr>
          <w:sz w:val="20"/>
          <w:szCs w:val="20"/>
          <w:color w:val="auto"/>
        </w:rPr>
      </w:pPr>
    </w:p>
    <w:p>
      <w:pPr>
        <w:ind w:right="20" w:firstLine="249"/>
        <w:spacing w:after="0" w:line="283" w:lineRule="auto"/>
        <w:rPr>
          <w:sz w:val="20"/>
          <w:szCs w:val="20"/>
          <w:color w:val="auto"/>
        </w:rPr>
      </w:pPr>
      <w:r>
        <w:rPr>
          <w:rFonts w:ascii="Times New Roman" w:cs="Times New Roman" w:eastAsia="Times New Roman" w:hAnsi="Times New Roman"/>
          <w:sz w:val="13"/>
          <w:szCs w:val="13"/>
          <w:color w:val="auto"/>
        </w:rPr>
        <w:t>The Bylaws provide for advance notice procedures for stockholders seeking to bring business before an annual meeting of stockholders or to nominate candidates for election as directors at an annual meeting of stockholders. The Bylaws also specify certain requirements regarding the form and content of a stockholder’s notice. These provisions might preclude stockholders from bringing matters before our annual meeting of stockholders or from making nominations for directors at the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Amendment to Certificate of Incorporation and Bylaws</w:t>
      </w:r>
    </w:p>
    <w:p>
      <w:pPr>
        <w:spacing w:after="0" w:line="132" w:lineRule="exact"/>
        <w:rPr>
          <w:sz w:val="20"/>
          <w:szCs w:val="20"/>
          <w:color w:val="auto"/>
        </w:rPr>
      </w:pPr>
    </w:p>
    <w:p>
      <w:pPr>
        <w:ind w:right="40" w:firstLine="249"/>
        <w:spacing w:after="0" w:line="253" w:lineRule="auto"/>
        <w:rPr>
          <w:sz w:val="20"/>
          <w:szCs w:val="20"/>
          <w:color w:val="auto"/>
        </w:rPr>
      </w:pPr>
      <w:r>
        <w:rPr>
          <w:rFonts w:ascii="Times New Roman" w:cs="Times New Roman" w:eastAsia="Times New Roman" w:hAnsi="Times New Roman"/>
          <w:sz w:val="14"/>
          <w:szCs w:val="14"/>
          <w:color w:val="auto"/>
        </w:rPr>
        <w:t>We may amend or repeal any provision contained in the Certificate of Incorporation in the manner prescribed by the laws of the State of Delaware, and all rights conferred upon stockholders are granted subject to this reservation. Notwithstanding any provision of the Certificate of Incorporation or any provision of law that might otherwise permit a lesser vote or no vote, subject to the rights of any outstanding series of preferred stock, but in addition to any vote of the holders of any class or series of our stock required by law, (i) the affirmative vote of the holders of at least sixty-six and two-thirds percent (66-2/3%) of the voting power of all of the then-outstanding shares of our capital stock entitled to vote on such amendment, voting together as a single class, and (ii) the affirmative vote of not less than sixty-six and two-thirds percent (66-2/3%) of the voting power of the outstanding shares of each class entitled to vote thereon as a class will be required to amend or repeal certain provisions of the Certificate of Incorporation.</w:t>
      </w:r>
    </w:p>
    <w:p>
      <w:pPr>
        <w:spacing w:after="0" w:line="104" w:lineRule="exact"/>
        <w:rPr>
          <w:sz w:val="20"/>
          <w:szCs w:val="20"/>
          <w:color w:val="auto"/>
        </w:rPr>
      </w:pPr>
    </w:p>
    <w:p>
      <w:pPr>
        <w:ind w:right="60" w:firstLine="249"/>
        <w:spacing w:after="0" w:line="252" w:lineRule="auto"/>
        <w:rPr>
          <w:sz w:val="20"/>
          <w:szCs w:val="20"/>
          <w:color w:val="auto"/>
        </w:rPr>
      </w:pPr>
      <w:r>
        <w:rPr>
          <w:rFonts w:ascii="Times New Roman" w:cs="Times New Roman" w:eastAsia="Times New Roman" w:hAnsi="Times New Roman"/>
          <w:sz w:val="14"/>
          <w:szCs w:val="14"/>
          <w:color w:val="auto"/>
        </w:rPr>
        <w:t>Our Board shall have the power to adopt, amend or repeal the Bylaws. Any adoption, amendment or repeal of the Bylaws by our Board shall require the approval of a majority of the directors on our Board. The stockholders shall also have power to adopt, amend or repeal the Bylaws. Notwithstanding any other provision of the Certificate of Incorporation or any provision of law that might otherwise permit a lesser or no vote, but in addition to any vote of the holders of any class or series of our stock required by applicable law or by the Certificate of Incorporation, the affirmative vote of the holders of at least sixty-six and two-thirds percent (66-2/3%) of the voting power of all of the then-outstanding shares of our capital stock entitled to vote on such amendment, voting together as a single class, shall be required for the stockholders to adopt, amend or repeal any provision of the Bylaws, provided that, if our Board recommends that the holders of our capital stock approve any amendment or repeal of the Bylaws at a meeting of stockholders, such amendment or repeal shall only require the affirmative vote of the majority of the outstanding shares of our capital stock entitled to vote on such amendment or repeal, voting together as a single class.</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Statute</w:t>
      </w:r>
    </w:p>
    <w:p>
      <w:pPr>
        <w:spacing w:after="0" w:line="132" w:lineRule="exact"/>
        <w:rPr>
          <w:sz w:val="20"/>
          <w:szCs w:val="20"/>
          <w:color w:val="auto"/>
        </w:rPr>
      </w:pPr>
    </w:p>
    <w:p>
      <w:pPr>
        <w:ind w:right="340" w:firstLine="249"/>
        <w:spacing w:after="0" w:line="262" w:lineRule="auto"/>
        <w:rPr>
          <w:sz w:val="20"/>
          <w:szCs w:val="20"/>
          <w:color w:val="auto"/>
        </w:rPr>
      </w:pPr>
      <w:r>
        <w:rPr>
          <w:rFonts w:ascii="Times New Roman" w:cs="Times New Roman" w:eastAsia="Times New Roman" w:hAnsi="Times New Roman"/>
          <w:sz w:val="14"/>
          <w:szCs w:val="14"/>
          <w:color w:val="auto"/>
        </w:rPr>
        <w:t>Section 203 of the Delaware General Corporation Law (the “DGCL”) provides that if a person acquires 15% or more of the voting stock of a Delaware corporation, such person becomes an “interested stockholder” and may not engage in certain “business combinations” with the corporation for a period of three years from the time such person acquired 15% or more of the corporation’s voting stock, unless:</w:t>
      </w:r>
    </w:p>
    <w:p>
      <w:pPr>
        <w:spacing w:after="0" w:line="96" w:lineRule="exact"/>
        <w:rPr>
          <w:sz w:val="20"/>
          <w:szCs w:val="20"/>
          <w:color w:val="auto"/>
        </w:rPr>
      </w:pPr>
    </w:p>
    <w:p>
      <w:pPr>
        <w:ind w:left="500" w:right="400" w:hanging="248"/>
        <w:spacing w:after="0" w:line="278" w:lineRule="auto"/>
        <w:tabs>
          <w:tab w:leader="none" w:pos="49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approves the acquisition of stock resulting in such person becoming an interested stockholder or the business combination before the time that the person becomes an interested stockholder;</w:t>
      </w:r>
    </w:p>
    <w:p>
      <w:pPr>
        <w:spacing w:after="0" w:line="84" w:lineRule="exact"/>
        <w:rPr>
          <w:rFonts w:ascii="Times New Roman" w:cs="Times New Roman" w:eastAsia="Times New Roman" w:hAnsi="Times New Roman"/>
          <w:sz w:val="14"/>
          <w:szCs w:val="14"/>
          <w:color w:val="auto"/>
        </w:rPr>
      </w:pPr>
    </w:p>
    <w:p>
      <w:pPr>
        <w:ind w:left="500" w:hanging="248"/>
        <w:spacing w:after="0" w:line="278" w:lineRule="auto"/>
        <w:tabs>
          <w:tab w:leader="none" w:pos="49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resulting in such person becoming an interested stockholder, the interested stockholder owns at least 85% of the outstanding voting stock of the corporation at the time the business combination commences (excluding voting stock owned by directors who are also officers and certain employee stock plans); or</w:t>
      </w:r>
    </w:p>
    <w:p>
      <w:pPr>
        <w:spacing w:after="0" w:line="84"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combination is approved by the board of directors and at a meeting of stockholders, not by written consent, by the affirmative vote of 2/3 of the outstanding voting stock which is not 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Liability and Indemnification of Officers and Directors</w:t>
      </w:r>
    </w:p>
    <w:p>
      <w:pPr>
        <w:spacing w:after="0" w:line="132" w:lineRule="exact"/>
        <w:rPr>
          <w:sz w:val="20"/>
          <w:szCs w:val="20"/>
          <w:color w:val="auto"/>
        </w:rPr>
      </w:pPr>
    </w:p>
    <w:p>
      <w:pPr>
        <w:ind w:right="40" w:firstLine="249"/>
        <w:spacing w:after="0" w:line="271" w:lineRule="auto"/>
        <w:rPr>
          <w:sz w:val="20"/>
          <w:szCs w:val="20"/>
          <w:color w:val="auto"/>
        </w:rPr>
      </w:pPr>
      <w:r>
        <w:rPr>
          <w:rFonts w:ascii="Times New Roman" w:cs="Times New Roman" w:eastAsia="Times New Roman" w:hAnsi="Times New Roman"/>
          <w:sz w:val="13"/>
          <w:szCs w:val="13"/>
          <w:color w:val="auto"/>
        </w:rPr>
        <w:t>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As permitted by the DGCL, our Certificate of Incorporation contains provisions that eliminate the personal liability of directors for monetary damages for any breach of fiduciary duties as a director, except liability for the following (i) any breach of a director’s duty of loyalty to us or our stockholders; (ii) acts or omissions not in good faith or that involve intentional misconduct or a knowing violation of law; (iii) under Section 174 of the DGCL; or (iv) any transaction from which the director derived an improper personal benefit. As permitted by the DGCL, the Bylaws provide that:</w:t>
      </w:r>
    </w:p>
    <w:p>
      <w:pPr>
        <w:spacing w:after="0" w:line="2" w:lineRule="exact"/>
        <w:rPr>
          <w:sz w:val="20"/>
          <w:szCs w:val="20"/>
          <w:color w:val="auto"/>
        </w:rPr>
      </w:pPr>
    </w:p>
    <w:p>
      <w:pPr>
        <w:ind w:right="60" w:firstLine="3"/>
        <w:spacing w:after="0" w:line="251" w:lineRule="auto"/>
        <w:tabs>
          <w:tab w:leader="none" w:pos="16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indemnify its directors and executive officers to the fullest extent permitted by the DGCL, subject to very limited exceptions; (ii) we may indemnify our other employees and agents as set forth in the DGCL; (iii) we are required to advance expenses, as incurred, to its directors and executive officers in connection with a legal proceeding to the fullest extent permitted by the DGCL, subject to very limited exceptions; and (iv) the rights conferred in the Bylaws are not exclusive.</w:t>
      </w:r>
    </w:p>
    <w:p>
      <w:pPr>
        <w:spacing w:after="0" w:line="103" w:lineRule="exact"/>
        <w:rPr>
          <w:sz w:val="20"/>
          <w:szCs w:val="20"/>
          <w:color w:val="auto"/>
        </w:rPr>
      </w:pPr>
    </w:p>
    <w:p>
      <w:pPr>
        <w:ind w:right="20" w:firstLine="249"/>
        <w:spacing w:after="0" w:line="262" w:lineRule="auto"/>
        <w:rPr>
          <w:sz w:val="20"/>
          <w:szCs w:val="20"/>
          <w:color w:val="auto"/>
        </w:rPr>
      </w:pPr>
      <w:r>
        <w:rPr>
          <w:rFonts w:ascii="Times New Roman" w:cs="Times New Roman" w:eastAsia="Times New Roman" w:hAnsi="Times New Roman"/>
          <w:sz w:val="14"/>
          <w:szCs w:val="14"/>
          <w:color w:val="auto"/>
        </w:rPr>
        <w:t>We have entered into indemnification agreements with each director and executive officer to provide these individuals additional contractual assurances regarding the scope of the indemnification set forth in the Certificate of Incorporation and Bylaws and to provide additional procedural protections. There is no pending litigation or proceeding involving one of our directors or executive officers for which indemnification is sought.</w:t>
      </w:r>
    </w:p>
    <w:p>
      <w:pPr>
        <w:spacing w:after="0" w:line="96" w:lineRule="exact"/>
        <w:rPr>
          <w:sz w:val="20"/>
          <w:szCs w:val="20"/>
          <w:color w:val="auto"/>
        </w:rPr>
      </w:pPr>
    </w:p>
    <w:p>
      <w:pPr>
        <w:jc w:val="both"/>
        <w:ind w:right="120" w:firstLine="249"/>
        <w:spacing w:after="0" w:line="262" w:lineRule="auto"/>
        <w:rPr>
          <w:sz w:val="20"/>
          <w:szCs w:val="20"/>
          <w:color w:val="auto"/>
        </w:rPr>
      </w:pPr>
      <w:r>
        <w:rPr>
          <w:rFonts w:ascii="Times New Roman" w:cs="Times New Roman" w:eastAsia="Times New Roman" w:hAnsi="Times New Roman"/>
          <w:sz w:val="14"/>
          <w:szCs w:val="14"/>
          <w:color w:val="auto"/>
        </w:rPr>
        <w:t>The indemnification provisions in the Certificate of Incorporation, Bylaws, and the indemnification agreements entered into or to be entered into between us and each of its directors and executive officers may be sufficiently broad to permit indemnification of our directors and executive officers for liabilities arising under the Securities Act. We currently carries liability insurance for our directors and officers. Certain of our directors are also indemnified by their employers with regard to service on our Board.</w:t>
      </w:r>
    </w:p>
    <w:p>
      <w:pPr>
        <w:spacing w:after="0" w:line="96" w:lineRule="exact"/>
        <w:rPr>
          <w:sz w:val="20"/>
          <w:szCs w:val="20"/>
          <w:color w:val="auto"/>
        </w:rPr>
      </w:pPr>
    </w:p>
    <w:p>
      <w:pPr>
        <w:ind w:firstLine="249"/>
        <w:spacing w:after="0" w:line="278"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Exclusive Jurisdiction of Certain Actions</w:t>
      </w:r>
    </w:p>
    <w:p>
      <w:pPr>
        <w:spacing w:after="0" w:line="132" w:lineRule="exact"/>
        <w:rPr>
          <w:sz w:val="20"/>
          <w:szCs w:val="20"/>
          <w:color w:val="auto"/>
        </w:rPr>
      </w:pPr>
    </w:p>
    <w:p>
      <w:pPr>
        <w:ind w:right="20" w:firstLine="249"/>
        <w:spacing w:after="0" w:line="255" w:lineRule="auto"/>
        <w:rPr>
          <w:sz w:val="20"/>
          <w:szCs w:val="20"/>
          <w:color w:val="auto"/>
        </w:rPr>
      </w:pPr>
      <w:r>
        <w:rPr>
          <w:rFonts w:ascii="Times New Roman" w:cs="Times New Roman" w:eastAsia="Times New Roman" w:hAnsi="Times New Roman"/>
          <w:sz w:val="14"/>
          <w:szCs w:val="14"/>
          <w:color w:val="auto"/>
        </w:rPr>
        <w:t>The Certificate of Incorporation requires, to the fullest extent permitted by law, unless we consent in writing to the selection of an alternative forum, that the Court of Chancery of the State of Delaware shall be the sole and exclusive forum for any state law claims for: (i) any derivative action or proceeding brought on behalf of us; (ii) any action asserting a claim of breach of a fiduciary duty owed by any current or former director, officer, or other employee of ours to us or our stockholders; (iii) any action asserting a claim against us or any current or former director, officer or other employee or stockholder of ours arising pursuant to any provision of the DGCL or the Certificate of Incorporation or the Bylaws; or (iv) any action asserting a claim against us or any current or former director, officer or other employee or stockholder of ours governed by the internal affairs doctrine.</w:t>
      </w:r>
    </w:p>
    <w:p>
      <w:pPr>
        <w:spacing w:after="0" w:line="100" w:lineRule="exact"/>
        <w:rPr>
          <w:sz w:val="20"/>
          <w:szCs w:val="20"/>
          <w:color w:val="auto"/>
        </w:rPr>
      </w:pPr>
    </w:p>
    <w:p>
      <w:pPr>
        <w:ind w:right="520" w:firstLine="249"/>
        <w:spacing w:after="0" w:line="278" w:lineRule="auto"/>
        <w:rPr>
          <w:sz w:val="20"/>
          <w:szCs w:val="20"/>
          <w:color w:val="auto"/>
        </w:rPr>
      </w:pPr>
      <w:r>
        <w:rPr>
          <w:rFonts w:ascii="Times New Roman" w:cs="Times New Roman" w:eastAsia="Times New Roman" w:hAnsi="Times New Roman"/>
          <w:sz w:val="14"/>
          <w:szCs w:val="14"/>
          <w:color w:val="auto"/>
        </w:rPr>
        <w:t>In addition, the Certificate of Incorporation requires that, unless we consent in writing to the selection of an alternative forum, the federal district courts of United States shall be the sole and exclusive forum for resolving any action asserting a claim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60"/>
          </w:cols>
          <w:pgMar w:left="300" w:top="1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32" w:lineRule="exact"/>
        <w:rPr>
          <w:sz w:val="20"/>
          <w:szCs w:val="20"/>
          <w:color w:val="auto"/>
        </w:rPr>
      </w:pPr>
    </w:p>
    <w:p>
      <w:pPr>
        <w:ind w:right="80" w:firstLine="249"/>
        <w:spacing w:after="0" w:line="257" w:lineRule="auto"/>
        <w:rPr>
          <w:sz w:val="20"/>
          <w:szCs w:val="20"/>
          <w:color w:val="auto"/>
        </w:rPr>
      </w:pPr>
      <w:r>
        <w:rPr>
          <w:rFonts w:ascii="Times New Roman" w:cs="Times New Roman" w:eastAsia="Times New Roman" w:hAnsi="Times New Roman"/>
          <w:sz w:val="14"/>
          <w:szCs w:val="14"/>
          <w:color w:val="auto"/>
        </w:rPr>
        <w:t>We may offer debt securities which may be senior or subordinated. We refer to the senior debt securities and the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00" w:lineRule="exact"/>
        <w:rPr>
          <w:sz w:val="20"/>
          <w:szCs w:val="20"/>
          <w:color w:val="auto"/>
        </w:rPr>
      </w:pPr>
    </w:p>
    <w:p>
      <w:pPr>
        <w:ind w:firstLine="249"/>
        <w:spacing w:after="0" w:line="274" w:lineRule="auto"/>
        <w:rPr>
          <w:sz w:val="20"/>
          <w:szCs w:val="20"/>
          <w:color w:val="auto"/>
        </w:rPr>
      </w:pPr>
      <w:r>
        <w:rPr>
          <w:rFonts w:ascii="Times New Roman" w:cs="Times New Roman" w:eastAsia="Times New Roman" w:hAnsi="Times New Roman"/>
          <w:sz w:val="13"/>
          <w:szCs w:val="13"/>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indentures:</w:t>
      </w:r>
    </w:p>
    <w:p>
      <w:pPr>
        <w:spacing w:after="0" w:line="130" w:lineRule="exact"/>
        <w:rPr>
          <w:sz w:val="20"/>
          <w:szCs w:val="20"/>
          <w:color w:val="auto"/>
        </w:rPr>
      </w:pPr>
    </w:p>
    <w:p>
      <w:pPr>
        <w:ind w:left="500" w:hanging="248"/>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limit the amount of debt securities that we may issue;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us to issue debt securities in one or more series;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require us to issue all of the debt securities of a series at the same time;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us to reopen a series to issue additional debt securities without the consent of the holders of the debt securities of such series.</w:t>
      </w:r>
    </w:p>
    <w:p>
      <w:pPr>
        <w:spacing w:after="0" w:line="130" w:lineRule="exact"/>
        <w:rPr>
          <w:sz w:val="20"/>
          <w:szCs w:val="20"/>
          <w:color w:val="auto"/>
        </w:rPr>
      </w:pPr>
    </w:p>
    <w:p>
      <w:pPr>
        <w:ind w:right="320" w:firstLine="249"/>
        <w:spacing w:after="0" w:line="262"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the section titled “— Subordination” and in the applicable prospectus supplement.</w:t>
      </w:r>
    </w:p>
    <w:p>
      <w:pPr>
        <w:spacing w:after="0" w:line="96" w:lineRule="exact"/>
        <w:rPr>
          <w:sz w:val="20"/>
          <w:szCs w:val="20"/>
          <w:color w:val="auto"/>
        </w:rPr>
      </w:pPr>
    </w:p>
    <w:p>
      <w:pPr>
        <w:ind w:right="80" w:firstLine="249"/>
        <w:spacing w:after="0" w:line="255" w:lineRule="auto"/>
        <w:rPr>
          <w:sz w:val="20"/>
          <w:szCs w:val="20"/>
          <w:color w:val="auto"/>
        </w:rPr>
      </w:pPr>
      <w:r>
        <w:rPr>
          <w:rFonts w:ascii="Times New Roman" w:cs="Times New Roman" w:eastAsia="Times New Roman" w:hAnsi="Times New Roman"/>
          <w:sz w:val="14"/>
          <w:szCs w:val="14"/>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prospectus supplement for each offering will provide the following terms, where applicable:</w:t>
      </w:r>
    </w:p>
    <w:p>
      <w:pPr>
        <w:spacing w:after="0" w:line="130" w:lineRule="exact"/>
        <w:rPr>
          <w:sz w:val="20"/>
          <w:szCs w:val="20"/>
          <w:color w:val="auto"/>
        </w:rPr>
      </w:pPr>
    </w:p>
    <w:p>
      <w:pPr>
        <w:ind w:left="500" w:hanging="248"/>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and whether they are senior or subordinated;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debt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of the series is payable;</w:t>
      </w:r>
    </w:p>
    <w:p>
      <w:pPr>
        <w:spacing w:after="0" w:line="129" w:lineRule="exact"/>
        <w:rPr>
          <w:rFonts w:ascii="Times New Roman" w:cs="Times New Roman" w:eastAsia="Times New Roman" w:hAnsi="Times New Roman"/>
          <w:sz w:val="14"/>
          <w:szCs w:val="14"/>
          <w:color w:val="auto"/>
        </w:rPr>
      </w:pPr>
    </w:p>
    <w:p>
      <w:pPr>
        <w:jc w:val="both"/>
        <w:ind w:left="500" w:hanging="248"/>
        <w:spacing w:after="0" w:line="262"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at which the debt securities of the series shall bear interest or the manner of calculation of such rate or rates, if any;</w:t>
      </w:r>
    </w:p>
    <w:p>
      <w:pPr>
        <w:spacing w:after="0" w:line="129"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extend the interest payment periods and the duration of such extension;</w:t>
      </w:r>
    </w:p>
    <w:p>
      <w:pPr>
        <w:spacing w:after="0" w:line="129" w:lineRule="exact"/>
        <w:rPr>
          <w:rFonts w:ascii="Times New Roman" w:cs="Times New Roman" w:eastAsia="Times New Roman" w:hAnsi="Times New Roman"/>
          <w:sz w:val="14"/>
          <w:szCs w:val="14"/>
          <w:color w:val="auto"/>
        </w:rPr>
      </w:pPr>
    </w:p>
    <w:p>
      <w:pPr>
        <w:ind w:left="500" w:right="100" w:hanging="248"/>
        <w:spacing w:after="0" w:line="278"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debt securities of the series may be redeemed, converted or exchanged, in whole or in part;</w:t>
      </w:r>
    </w:p>
    <w:p>
      <w:pPr>
        <w:spacing w:after="0" w:line="84" w:lineRule="exact"/>
        <w:rPr>
          <w:rFonts w:ascii="Times New Roman" w:cs="Times New Roman" w:eastAsia="Times New Roman" w:hAnsi="Times New Roman"/>
          <w:sz w:val="14"/>
          <w:szCs w:val="14"/>
          <w:color w:val="auto"/>
        </w:rPr>
      </w:pPr>
    </w:p>
    <w:p>
      <w:pPr>
        <w:ind w:left="500" w:right="40" w:hanging="248"/>
        <w:spacing w:after="0" w:line="262"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 including the form of the Certificate of Authentication for such series;</w:t>
      </w:r>
    </w:p>
    <w:p>
      <w:pPr>
        <w:spacing w:after="0" w:line="129" w:lineRule="exact"/>
        <w:rPr>
          <w:rFonts w:ascii="Times New Roman" w:cs="Times New Roman" w:eastAsia="Times New Roman" w:hAnsi="Times New Roman"/>
          <w:sz w:val="14"/>
          <w:szCs w:val="14"/>
          <w:color w:val="auto"/>
        </w:rPr>
      </w:pPr>
    </w:p>
    <w:p>
      <w:pPr>
        <w:ind w:left="500" w:right="340" w:hanging="248"/>
        <w:spacing w:after="0" w:line="278"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minimum denominations of one thousand U.S. dollars ($1,000) or any integral multiple of $1,000 thereof, the denominations in which the debt securities of the series shall be issuable;</w:t>
      </w:r>
    </w:p>
    <w:p>
      <w:pPr>
        <w:spacing w:after="0" w:line="84" w:lineRule="exact"/>
        <w:rPr>
          <w:rFonts w:ascii="Times New Roman" w:cs="Times New Roman" w:eastAsia="Times New Roman" w:hAnsi="Times New Roman"/>
          <w:sz w:val="14"/>
          <w:szCs w:val="14"/>
          <w:color w:val="auto"/>
        </w:rPr>
      </w:pPr>
    </w:p>
    <w:p>
      <w:pPr>
        <w:ind w:left="500" w:right="20" w:hanging="248"/>
        <w:spacing w:after="0" w:line="318" w:lineRule="auto"/>
        <w:tabs>
          <w:tab w:leader="none" w:pos="496"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w:t>
      </w:r>
    </w:p>
    <w:p>
      <w:pPr>
        <w:spacing w:after="0" w:line="60" w:lineRule="exact"/>
        <w:rPr>
          <w:rFonts w:ascii="Times New Roman" w:cs="Times New Roman" w:eastAsia="Times New Roman" w:hAnsi="Times New Roman"/>
          <w:sz w:val="13"/>
          <w:szCs w:val="13"/>
          <w:color w:val="auto"/>
        </w:rPr>
      </w:pPr>
    </w:p>
    <w:p>
      <w:pPr>
        <w:ind w:left="500" w:right="60" w:hanging="248"/>
        <w:spacing w:after="0" w:line="262"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alternative events of default to those set forth in the indenture;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alternative covenants to those set forth in the indenture;</w:t>
      </w:r>
    </w:p>
    <w:p>
      <w:pPr>
        <w:spacing w:after="0" w:line="129" w:lineRule="exact"/>
        <w:rPr>
          <w:rFonts w:ascii="Times New Roman" w:cs="Times New Roman" w:eastAsia="Times New Roman" w:hAnsi="Times New Roman"/>
          <w:sz w:val="14"/>
          <w:szCs w:val="14"/>
          <w:color w:val="auto"/>
        </w:rPr>
      </w:pPr>
    </w:p>
    <w:p>
      <w:pPr>
        <w:ind w:left="500" w:right="60" w:hanging="248"/>
        <w:spacing w:after="0" w:line="262"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96"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180"/>
          </w:cols>
          <w:pgMar w:left="300" w:top="125"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248"/>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129" w:lineRule="exact"/>
        <w:rPr>
          <w:rFonts w:ascii="Times New Roman" w:cs="Times New Roman" w:eastAsia="Times New Roman" w:hAnsi="Times New Roman"/>
          <w:sz w:val="14"/>
          <w:szCs w:val="14"/>
          <w:color w:val="auto"/>
        </w:rPr>
      </w:pPr>
    </w:p>
    <w:p>
      <w:pPr>
        <w:ind w:left="500" w:right="120" w:hanging="248"/>
        <w:spacing w:after="0" w:line="278" w:lineRule="auto"/>
        <w:tabs>
          <w:tab w:leader="none" w:pos="4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or alternative provisions, if any, related to defeasance and discharge of the offered debt securities than those set forth in the indenture;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insofar as it applies to such series).</w:t>
      </w:r>
    </w:p>
    <w:p>
      <w:pPr>
        <w:spacing w:after="0" w:line="130" w:lineRule="exact"/>
        <w:rPr>
          <w:sz w:val="20"/>
          <w:szCs w:val="20"/>
          <w:color w:val="auto"/>
        </w:rPr>
      </w:pPr>
    </w:p>
    <w:p>
      <w:pPr>
        <w:ind w:right="220" w:firstLine="249"/>
        <w:spacing w:after="0" w:line="278" w:lineRule="auto"/>
        <w:rPr>
          <w:sz w:val="20"/>
          <w:szCs w:val="20"/>
          <w:color w:val="auto"/>
        </w:rPr>
      </w:pPr>
      <w:r>
        <w:rPr>
          <w:rFonts w:ascii="Times New Roman" w:cs="Times New Roman" w:eastAsia="Times New Roman" w:hAnsi="Times New Roman"/>
          <w:sz w:val="14"/>
          <w:szCs w:val="14"/>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w:t>
      </w:r>
    </w:p>
    <w:p>
      <w:pPr>
        <w:spacing w:after="0" w:line="84" w:lineRule="exact"/>
        <w:rPr>
          <w:sz w:val="20"/>
          <w:szCs w:val="20"/>
          <w:color w:val="auto"/>
        </w:rPr>
      </w:pPr>
    </w:p>
    <w:p>
      <w:pPr>
        <w:ind w:right="20" w:firstLine="249"/>
        <w:spacing w:after="0" w:line="278" w:lineRule="auto"/>
        <w:rPr>
          <w:sz w:val="20"/>
          <w:szCs w:val="20"/>
          <w:color w:val="auto"/>
        </w:rPr>
      </w:pPr>
      <w:r>
        <w:rPr>
          <w:rFonts w:ascii="Times New Roman" w:cs="Times New Roman" w:eastAsia="Times New Roman" w:hAnsi="Times New Roman"/>
          <w:sz w:val="14"/>
          <w:szCs w:val="14"/>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Payment</w:t>
      </w:r>
    </w:p>
    <w:p>
      <w:pPr>
        <w:spacing w:after="0" w:line="132" w:lineRule="exact"/>
        <w:rPr>
          <w:sz w:val="20"/>
          <w:szCs w:val="20"/>
          <w:color w:val="auto"/>
        </w:rPr>
      </w:pPr>
    </w:p>
    <w:p>
      <w:pPr>
        <w:ind w:right="40" w:firstLine="249"/>
        <w:spacing w:after="0" w:line="262"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96" w:lineRule="exact"/>
        <w:rPr>
          <w:sz w:val="20"/>
          <w:szCs w:val="20"/>
          <w:color w:val="auto"/>
        </w:rPr>
      </w:pPr>
    </w:p>
    <w:p>
      <w:pPr>
        <w:jc w:val="both"/>
        <w:ind w:right="180" w:firstLine="249"/>
        <w:spacing w:after="0" w:line="262" w:lineRule="auto"/>
        <w:rPr>
          <w:sz w:val="20"/>
          <w:szCs w:val="20"/>
          <w:color w:val="auto"/>
        </w:rPr>
      </w:pPr>
      <w:r>
        <w:rPr>
          <w:rFonts w:ascii="Times New Roman" w:cs="Times New Roman" w:eastAsia="Times New Roman" w:hAnsi="Times New Roman"/>
          <w:sz w:val="14"/>
          <w:szCs w:val="14"/>
          <w:color w:val="auto"/>
        </w:rPr>
        <w:t>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 Consolidation or Sale of Assets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indentures provide that we may, without the consent of the holders of any outstanding debt securities, (i) consolidate with, (ii) sell, lease or convey all or substantially all of our assets to, or</w:t>
      </w:r>
    </w:p>
    <w:p>
      <w:pPr>
        <w:spacing w:after="0" w:line="20" w:lineRule="exact"/>
        <w:rPr>
          <w:sz w:val="20"/>
          <w:szCs w:val="20"/>
          <w:color w:val="auto"/>
        </w:rPr>
      </w:pPr>
    </w:p>
    <w:p>
      <w:pPr>
        <w:ind w:left="240" w:hanging="237"/>
        <w:spacing w:after="0"/>
        <w:tabs>
          <w:tab w:leader="none" w:pos="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merge with or into, any other entity provided that:</w:t>
      </w:r>
    </w:p>
    <w:p>
      <w:pPr>
        <w:spacing w:after="0" w:line="11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we are the continuing entity, or the successor entity, if other than us, assumes the obligations (a) to pay the principal of, and any premium, and interest on, all of the debt securities and</w:t>
      </w:r>
    </w:p>
    <w:p>
      <w:pPr>
        <w:spacing w:after="0" w:line="20" w:lineRule="exact"/>
        <w:rPr>
          <w:rFonts w:ascii="Times New Roman" w:cs="Times New Roman" w:eastAsia="Times New Roman" w:hAnsi="Times New Roman"/>
          <w:sz w:val="14"/>
          <w:szCs w:val="14"/>
          <w:color w:val="auto"/>
        </w:rPr>
      </w:pPr>
    </w:p>
    <w:p>
      <w:pPr>
        <w:ind w:left="500"/>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stock or other securities of ours deliverable upon conversion or exchange of those debt securities would have been entitled had such conversion or exchange occurred immediately prior to such consolidation, merger, sale, conveyance, transfer or other disposition; and</w:t>
      </w:r>
    </w:p>
    <w:p>
      <w:pPr>
        <w:spacing w:after="0" w:line="10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and legal opinion covering such conditions are delivered to each applicable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 Notice and Waiver</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Unless the applicable prospectus supplement states otherwise, when we refer to “events of default” as defined in the indentures with respect to any series of debt securities, we mean:</w:t>
      </w:r>
    </w:p>
    <w:p>
      <w:pPr>
        <w:spacing w:after="0" w:line="130" w:lineRule="exact"/>
        <w:rPr>
          <w:sz w:val="20"/>
          <w:szCs w:val="20"/>
          <w:color w:val="auto"/>
        </w:rPr>
      </w:pPr>
    </w:p>
    <w:p>
      <w:pPr>
        <w:ind w:left="500" w:hanging="24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installment of interest on any debt security of such series continuing for 90 days unless such date has been extended or deferred;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any premium on, any debt security of such series when due and payable unless such date has been extended or deferred;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in the debt securities or in the indenture by us continuing for 90 days after written notice described below;</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bankruptcy, insolvency or reorganization, or court appointment of a receiver, liquidator or trustee of us;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a particular series of debt securities.</w:t>
      </w:r>
    </w:p>
    <w:p>
      <w:pPr>
        <w:spacing w:after="0" w:line="130" w:lineRule="exact"/>
        <w:rPr>
          <w:sz w:val="20"/>
          <w:szCs w:val="20"/>
          <w:color w:val="auto"/>
        </w:rPr>
      </w:pPr>
    </w:p>
    <w:p>
      <w:pPr>
        <w:ind w:firstLine="249"/>
        <w:spacing w:after="0" w:line="253" w:lineRule="auto"/>
        <w:rPr>
          <w:sz w:val="20"/>
          <w:szCs w:val="20"/>
          <w:color w:val="auto"/>
        </w:rPr>
      </w:pPr>
      <w:r>
        <w:rPr>
          <w:rFonts w:ascii="Times New Roman" w:cs="Times New Roman" w:eastAsia="Times New Roman" w:hAnsi="Times New Roman"/>
          <w:sz w:val="14"/>
          <w:szCs w:val="14"/>
          <w:color w:val="auto"/>
        </w:rPr>
        <w:t>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04" w:lineRule="exact"/>
        <w:rPr>
          <w:sz w:val="20"/>
          <w:szCs w:val="20"/>
          <w:color w:val="auto"/>
        </w:rPr>
      </w:pPr>
    </w:p>
    <w:p>
      <w:pPr>
        <w:ind w:left="500" w:right="240" w:hanging="248"/>
        <w:spacing w:after="0" w:line="278" w:lineRule="auto"/>
        <w:tabs>
          <w:tab w:leader="none" w:pos="4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deposited with the applicable trustee all required payments of the principal, any premium, interest and, to the extent permitted by law, interest on overdue installment of interest, plus applicable fees, expenses, disbursements and advances of the applicable trustee; and</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other than the non-payment of accelerated principal, or a specified portion thereof, and any premium, have been cured or waived.</w:t>
      </w:r>
    </w:p>
    <w:p>
      <w:pPr>
        <w:spacing w:after="0" w:line="130" w:lineRule="exact"/>
        <w:rPr>
          <w:sz w:val="20"/>
          <w:szCs w:val="20"/>
          <w:color w:val="auto"/>
        </w:rPr>
      </w:pPr>
    </w:p>
    <w:p>
      <w:pPr>
        <w:ind w:right="120" w:firstLine="249"/>
        <w:spacing w:after="0" w:line="257" w:lineRule="auto"/>
        <w:rPr>
          <w:sz w:val="20"/>
          <w:szCs w:val="20"/>
          <w:color w:val="auto"/>
        </w:rPr>
      </w:pPr>
      <w:r>
        <w:rPr>
          <w:rFonts w:ascii="Times New Roman" w:cs="Times New Roman" w:eastAsia="Times New Roman" w:hAnsi="Times New Roman"/>
          <w:sz w:val="14"/>
          <w:szCs w:val="14"/>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w:t>
      </w:r>
    </w:p>
    <w:p>
      <w:pPr>
        <w:spacing w:after="0" w:line="100" w:lineRule="exact"/>
        <w:rPr>
          <w:sz w:val="20"/>
          <w:szCs w:val="20"/>
          <w:color w:val="auto"/>
        </w:rPr>
      </w:pPr>
    </w:p>
    <w:p>
      <w:pPr>
        <w:ind w:right="320" w:firstLine="249"/>
        <w:spacing w:after="0" w:line="255" w:lineRule="auto"/>
        <w:rPr>
          <w:sz w:val="20"/>
          <w:szCs w:val="20"/>
          <w:color w:val="auto"/>
        </w:rPr>
      </w:pPr>
      <w:r>
        <w:rPr>
          <w:rFonts w:ascii="Times New Roman" w:cs="Times New Roman" w:eastAsia="Times New Roman" w:hAnsi="Times New Roman"/>
          <w:sz w:val="14"/>
          <w:szCs w:val="14"/>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00" w:lineRule="exact"/>
        <w:rPr>
          <w:sz w:val="20"/>
          <w:szCs w:val="20"/>
          <w:color w:val="auto"/>
        </w:rPr>
      </w:pPr>
    </w:p>
    <w:p>
      <w:pPr>
        <w:ind w:left="500" w:hanging="248"/>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in conflict with any law or the applicable indenture;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involve the trustee in personal liability;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248"/>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be unduly prejudicial to the holders of debt securities of the series not joining the proceeding.</w:t>
      </w:r>
    </w:p>
    <w:p>
      <w:pPr>
        <w:spacing w:after="0" w:line="130" w:lineRule="exact"/>
        <w:rPr>
          <w:sz w:val="20"/>
          <w:szCs w:val="20"/>
          <w:color w:val="auto"/>
        </w:rPr>
      </w:pPr>
    </w:p>
    <w:p>
      <w:pPr>
        <w:ind w:right="260" w:firstLine="249"/>
        <w:spacing w:after="0" w:line="278" w:lineRule="auto"/>
        <w:rPr>
          <w:sz w:val="20"/>
          <w:szCs w:val="20"/>
          <w:color w:val="auto"/>
        </w:rPr>
      </w:pPr>
      <w:r>
        <w:rPr>
          <w:rFonts w:ascii="Times New Roman" w:cs="Times New Roman" w:eastAsia="Times New Roman" w:hAnsi="Times New Roman"/>
          <w:sz w:val="14"/>
          <w:szCs w:val="14"/>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the Indentures</w:t>
      </w:r>
    </w:p>
    <w:p>
      <w:pPr>
        <w:spacing w:after="0" w:line="132" w:lineRule="exact"/>
        <w:rPr>
          <w:sz w:val="20"/>
          <w:szCs w:val="20"/>
          <w:color w:val="auto"/>
        </w:rPr>
      </w:pPr>
    </w:p>
    <w:p>
      <w:pPr>
        <w:ind w:right="220" w:firstLine="249"/>
        <w:spacing w:after="0" w:line="278" w:lineRule="auto"/>
        <w:rPr>
          <w:sz w:val="20"/>
          <w:szCs w:val="20"/>
          <w:color w:val="auto"/>
        </w:rPr>
      </w:pPr>
      <w:r>
        <w:rPr>
          <w:rFonts w:ascii="Times New Roman" w:cs="Times New Roman" w:eastAsia="Times New Roman" w:hAnsi="Times New Roman"/>
          <w:sz w:val="14"/>
          <w:szCs w:val="14"/>
          <w:color w:val="auto"/>
        </w:rPr>
        <w:t>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and the applicable trustee may make modifications and amendments of an indenture without the consent of any holder of debt securities for any of the following purposes:</w:t>
      </w:r>
    </w:p>
    <w:p>
      <w:pPr>
        <w:spacing w:after="0" w:line="130" w:lineRule="exact"/>
        <w:rPr>
          <w:sz w:val="20"/>
          <w:szCs w:val="20"/>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applicable indenture or in the Securities of any series;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covenant described above under “—Merger, Consolidation or Sale of Assets;”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events of default for the benefit of the holders of all or any series of debt securities;</w:t>
      </w:r>
    </w:p>
    <w:p>
      <w:pPr>
        <w:spacing w:after="0" w:line="129" w:lineRule="exact"/>
        <w:rPr>
          <w:rFonts w:ascii="Times New Roman" w:cs="Times New Roman" w:eastAsia="Times New Roman" w:hAnsi="Times New Roman"/>
          <w:sz w:val="14"/>
          <w:szCs w:val="14"/>
          <w:color w:val="auto"/>
        </w:rPr>
      </w:pPr>
    </w:p>
    <w:p>
      <w:pPr>
        <w:ind w:left="500" w:hanging="248"/>
        <w:spacing w:after="0" w:line="257"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w:t>
      </w:r>
    </w:p>
    <w:p>
      <w:pPr>
        <w:spacing w:after="0" w:line="99"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applicable indenture;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notes under the applicable indenture in any material respect;</w:t>
      </w:r>
    </w:p>
    <w:p>
      <w:pPr>
        <w:spacing w:after="0" w:line="129" w:lineRule="exact"/>
        <w:rPr>
          <w:rFonts w:ascii="Times New Roman" w:cs="Times New Roman" w:eastAsia="Times New Roman" w:hAnsi="Times New Roman"/>
          <w:sz w:val="14"/>
          <w:szCs w:val="14"/>
          <w:color w:val="auto"/>
        </w:rPr>
      </w:pPr>
    </w:p>
    <w:p>
      <w:pPr>
        <w:ind w:left="500" w:right="20" w:hanging="248"/>
        <w:spacing w:after="0" w:line="262"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w:t>
      </w:r>
    </w:p>
    <w:p>
      <w:pPr>
        <w:spacing w:after="0" w:line="96"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the applicable indenture by a successor trustee or to appoint a separate trustee with respect to any series;</w:t>
      </w:r>
    </w:p>
    <w:p>
      <w:pPr>
        <w:spacing w:after="0" w:line="129" w:lineRule="exact"/>
        <w:rPr>
          <w:rFonts w:ascii="Times New Roman" w:cs="Times New Roman" w:eastAsia="Times New Roman" w:hAnsi="Times New Roman"/>
          <w:sz w:val="14"/>
          <w:szCs w:val="14"/>
          <w:color w:val="auto"/>
        </w:rPr>
      </w:pPr>
    </w:p>
    <w:p>
      <w:pPr>
        <w:ind w:left="500" w:right="20" w:hanging="248"/>
        <w:spacing w:after="0" w:line="278"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or any successor in connection with the qualification of the indenture under the Trust Indenture Act of 1939, as amended, or the Trust Indenture Act; or</w:t>
      </w:r>
    </w:p>
    <w:p>
      <w:pPr>
        <w:spacing w:after="0" w:line="84" w:lineRule="exact"/>
        <w:rPr>
          <w:rFonts w:ascii="Times New Roman" w:cs="Times New Roman" w:eastAsia="Times New Roman" w:hAnsi="Times New Roman"/>
          <w:sz w:val="14"/>
          <w:szCs w:val="14"/>
          <w:color w:val="auto"/>
        </w:rPr>
      </w:pPr>
    </w:p>
    <w:p>
      <w:pPr>
        <w:ind w:left="500" w:right="60" w:hanging="248"/>
        <w:spacing w:after="0" w:line="278" w:lineRule="auto"/>
        <w:tabs>
          <w:tab w:leader="none" w:pos="49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the applicable indenture to this “—Description of Debt Securities” or any other similarly titled section in any prospectus supplement or other offering document relating to a series of debt securities.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Subordination</w:t>
      </w:r>
    </w:p>
    <w:p>
      <w:pPr>
        <w:spacing w:after="0" w:line="132" w:lineRule="exact"/>
        <w:rPr>
          <w:sz w:val="20"/>
          <w:szCs w:val="20"/>
          <w:color w:val="auto"/>
        </w:rPr>
      </w:pPr>
    </w:p>
    <w:p>
      <w:pPr>
        <w:ind w:right="80" w:firstLine="249"/>
        <w:spacing w:after="0" w:line="278" w:lineRule="auto"/>
        <w:rPr>
          <w:sz w:val="20"/>
          <w:szCs w:val="20"/>
          <w:color w:val="auto"/>
        </w:rPr>
      </w:pPr>
      <w:r>
        <w:rPr>
          <w:rFonts w:ascii="Times New Roman" w:cs="Times New Roman" w:eastAsia="Times New Roman" w:hAnsi="Times New Roman"/>
          <w:sz w:val="14"/>
          <w:szCs w:val="14"/>
          <w:color w:val="auto"/>
        </w:rPr>
        <w:t>Payment by us of the principal of, premium, if any, and interest on any series of subordinated debt securities issued under the subordinated indenture will be subordinated to the extent set forth in an indenture supplemental to the subordinated indenture relating to such series.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60"/>
          </w:cols>
          <w:pgMar w:left="300" w:top="1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Discharge, Defeasance and Covenant Defeasance</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Unless otherwise provided in the applicable prospectus supplement, the indentures allow us to discharge our obligations to holders of any series of debt securities issued under any indenture when:</w:t>
      </w:r>
    </w:p>
    <w:p>
      <w:pPr>
        <w:spacing w:after="0" w:line="141" w:lineRule="exact"/>
        <w:rPr>
          <w:sz w:val="20"/>
          <w:szCs w:val="20"/>
          <w:color w:val="auto"/>
        </w:rPr>
      </w:pPr>
    </w:p>
    <w:p>
      <w:pPr>
        <w:ind w:left="500" w:right="80" w:hanging="248"/>
        <w:spacing w:after="0" w:line="255" w:lineRule="auto"/>
        <w:tabs>
          <w:tab w:leader="none" w:pos="4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and</w:t>
      </w:r>
    </w:p>
    <w:p>
      <w:pPr>
        <w:spacing w:after="0" w:line="100"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caused to be paid all other sums payable.</w:t>
      </w:r>
    </w:p>
    <w:p>
      <w:pPr>
        <w:spacing w:after="0" w:line="130" w:lineRule="exact"/>
        <w:rPr>
          <w:sz w:val="20"/>
          <w:szCs w:val="20"/>
          <w:color w:val="auto"/>
        </w:rPr>
      </w:pPr>
    </w:p>
    <w:p>
      <w:pPr>
        <w:ind w:right="140" w:firstLine="249"/>
        <w:spacing w:after="0" w:line="253" w:lineRule="auto"/>
        <w:rPr>
          <w:sz w:val="20"/>
          <w:szCs w:val="20"/>
          <w:color w:val="auto"/>
        </w:rPr>
      </w:pPr>
      <w:r>
        <w:rPr>
          <w:rFonts w:ascii="Times New Roman" w:cs="Times New Roman" w:eastAsia="Times New Roman" w:hAnsi="Times New Roman"/>
          <w:sz w:val="14"/>
          <w:szCs w:val="14"/>
          <w:color w:val="auto"/>
        </w:rPr>
        <w:t>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04" w:lineRule="exact"/>
        <w:rPr>
          <w:sz w:val="20"/>
          <w:szCs w:val="20"/>
          <w:color w:val="auto"/>
        </w:rPr>
      </w:pPr>
    </w:p>
    <w:p>
      <w:pPr>
        <w:ind w:right="20" w:firstLine="249"/>
        <w:spacing w:after="0" w:line="278" w:lineRule="auto"/>
        <w:rPr>
          <w:sz w:val="20"/>
          <w:szCs w:val="20"/>
          <w:color w:val="auto"/>
        </w:rPr>
      </w:pPr>
      <w:r>
        <w:rPr>
          <w:rFonts w:ascii="Times New Roman" w:cs="Times New Roman" w:eastAsia="Times New Roman" w:hAnsi="Times New Roman"/>
          <w:sz w:val="14"/>
          <w:szCs w:val="14"/>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132" w:lineRule="exact"/>
        <w:rPr>
          <w:sz w:val="20"/>
          <w:szCs w:val="20"/>
          <w:color w:val="auto"/>
        </w:rPr>
      </w:pPr>
    </w:p>
    <w:p>
      <w:pPr>
        <w:ind w:firstLine="249"/>
        <w:spacing w:after="0" w:line="257" w:lineRule="auto"/>
        <w:rPr>
          <w:sz w:val="20"/>
          <w:szCs w:val="20"/>
          <w:color w:val="auto"/>
        </w:rPr>
      </w:pPr>
      <w:r>
        <w:rPr>
          <w:rFonts w:ascii="Times New Roman" w:cs="Times New Roman" w:eastAsia="Times New Roman" w:hAnsi="Times New Roman"/>
          <w:sz w:val="14"/>
          <w:szCs w:val="14"/>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indentures and the debt securities will be governed by and construed in accordance with the laws of the State of New York, except to the extent that the Trust Indenture Act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20"/>
          </w:cols>
          <w:pgMar w:left="300" w:top="125"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30" w:lineRule="exact"/>
        <w:rPr>
          <w:sz w:val="20"/>
          <w:szCs w:val="20"/>
          <w:color w:val="auto"/>
        </w:rPr>
      </w:pPr>
    </w:p>
    <w:p>
      <w:pPr>
        <w:ind w:right="80" w:firstLine="249"/>
        <w:spacing w:after="0" w:line="256" w:lineRule="auto"/>
        <w:rPr>
          <w:sz w:val="20"/>
          <w:szCs w:val="20"/>
          <w:color w:val="auto"/>
        </w:rPr>
      </w:pPr>
      <w:r>
        <w:rPr>
          <w:rFonts w:ascii="Times New Roman" w:cs="Times New Roman" w:eastAsia="Times New Roman" w:hAnsi="Times New Roman"/>
          <w:sz w:val="14"/>
          <w:szCs w:val="14"/>
          <w:i w:val="1"/>
          <w:iCs w:val="1"/>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2" w:lineRule="exact"/>
        <w:rPr>
          <w:sz w:val="20"/>
          <w:szCs w:val="20"/>
          <w:color w:val="auto"/>
        </w:rPr>
      </w:pPr>
    </w:p>
    <w:p>
      <w:pPr>
        <w:ind w:firstLine="249"/>
        <w:spacing w:after="0" w:line="278" w:lineRule="auto"/>
        <w:rPr>
          <w:sz w:val="20"/>
          <w:szCs w:val="20"/>
          <w:color w:val="auto"/>
        </w:rPr>
      </w:pPr>
      <w:r>
        <w:rPr>
          <w:rFonts w:ascii="Times New Roman" w:cs="Times New Roman" w:eastAsia="Times New Roman" w:hAnsi="Times New Roman"/>
          <w:sz w:val="14"/>
          <w:szCs w:val="14"/>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84" w:lineRule="exact"/>
        <w:rPr>
          <w:sz w:val="20"/>
          <w:szCs w:val="20"/>
          <w:color w:val="auto"/>
        </w:rPr>
      </w:pPr>
    </w:p>
    <w:p>
      <w:pPr>
        <w:ind w:right="20" w:firstLine="249"/>
        <w:spacing w:after="0" w:line="278"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including:</w:t>
      </w:r>
    </w:p>
    <w:p>
      <w:pPr>
        <w:spacing w:after="0" w:line="130" w:lineRule="exact"/>
        <w:rPr>
          <w:sz w:val="20"/>
          <w:szCs w:val="20"/>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designation and terms of the securities with which the warrants are issued and the number of warrants issued with each such security or each principal amount of such security;</w:t>
      </w:r>
    </w:p>
    <w:p>
      <w:pPr>
        <w:spacing w:after="0" w:line="141" w:lineRule="exact"/>
        <w:rPr>
          <w:rFonts w:ascii="Times New Roman" w:cs="Times New Roman" w:eastAsia="Times New Roman" w:hAnsi="Times New Roman"/>
          <w:sz w:val="13"/>
          <w:szCs w:val="13"/>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129" w:lineRule="exact"/>
        <w:rPr>
          <w:rFonts w:ascii="Times New Roman" w:cs="Times New Roman" w:eastAsia="Times New Roman" w:hAnsi="Times New Roman"/>
          <w:sz w:val="14"/>
          <w:szCs w:val="14"/>
          <w:color w:val="auto"/>
        </w:rPr>
      </w:pPr>
    </w:p>
    <w:p>
      <w:pPr>
        <w:ind w:left="500" w:right="80" w:hanging="248"/>
        <w:spacing w:after="0" w:line="278" w:lineRule="auto"/>
        <w:tabs>
          <w:tab w:leader="none" w:pos="49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84" w:lineRule="exact"/>
        <w:rPr>
          <w:rFonts w:ascii="Times New Roman" w:cs="Times New Roman" w:eastAsia="Times New Roman" w:hAnsi="Times New Roman"/>
          <w:sz w:val="14"/>
          <w:szCs w:val="14"/>
          <w:color w:val="auto"/>
        </w:rPr>
      </w:pPr>
    </w:p>
    <w:p>
      <w:pPr>
        <w:ind w:left="500" w:right="80" w:hanging="248"/>
        <w:spacing w:after="0" w:line="278" w:lineRule="auto"/>
        <w:tabs>
          <w:tab w:leader="none" w:pos="49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8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 and the warrants;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periods during which, and places at which, the warrants are exercisable;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exercise;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 and warrants may be modified;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income tax consequences of holding or exercising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hanging="248"/>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125"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32" w:lineRule="exact"/>
        <w:rPr>
          <w:sz w:val="20"/>
          <w:szCs w:val="20"/>
          <w:color w:val="auto"/>
        </w:rPr>
      </w:pPr>
    </w:p>
    <w:p>
      <w:pPr>
        <w:ind w:firstLine="249"/>
        <w:spacing w:after="0" w:line="252" w:lineRule="auto"/>
        <w:rPr>
          <w:sz w:val="20"/>
          <w:szCs w:val="20"/>
          <w:color w:val="auto"/>
        </w:rPr>
      </w:pPr>
      <w:r>
        <w:rPr>
          <w:rFonts w:ascii="Times New Roman" w:cs="Times New Roman" w:eastAsia="Times New Roman" w:hAnsi="Times New Roman"/>
          <w:sz w:val="14"/>
          <w:szCs w:val="14"/>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prospectus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05" w:lineRule="exact"/>
        <w:rPr>
          <w:sz w:val="20"/>
          <w:szCs w:val="20"/>
          <w:color w:val="auto"/>
        </w:rPr>
      </w:pPr>
    </w:p>
    <w:p>
      <w:pPr>
        <w:jc w:val="both"/>
        <w:ind w:firstLine="249"/>
        <w:spacing w:after="0" w:line="262" w:lineRule="auto"/>
        <w:rPr>
          <w:sz w:val="20"/>
          <w:szCs w:val="20"/>
          <w:color w:val="auto"/>
        </w:rPr>
      </w:pPr>
      <w:r>
        <w:rPr>
          <w:rFonts w:ascii="Times New Roman" w:cs="Times New Roman" w:eastAsia="Times New Roman" w:hAnsi="Times New Roman"/>
          <w:sz w:val="14"/>
          <w:szCs w:val="14"/>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96" w:lineRule="exact"/>
        <w:rPr>
          <w:sz w:val="20"/>
          <w:szCs w:val="20"/>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units will be issued;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United States federal income tax considerations relating to the units;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of the securities comprising the units.</w:t>
      </w:r>
    </w:p>
    <w:p>
      <w:pPr>
        <w:spacing w:after="0" w:line="130" w:lineRule="exact"/>
        <w:rPr>
          <w:sz w:val="20"/>
          <w:szCs w:val="20"/>
          <w:color w:val="auto"/>
        </w:rPr>
      </w:pPr>
    </w:p>
    <w:p>
      <w:pPr>
        <w:ind w:right="520" w:firstLine="249"/>
        <w:spacing w:after="0" w:line="278" w:lineRule="auto"/>
        <w:rPr>
          <w:sz w:val="20"/>
          <w:szCs w:val="20"/>
          <w:color w:val="auto"/>
        </w:rPr>
      </w:pPr>
      <w:r>
        <w:rPr>
          <w:rFonts w:ascii="Times New Roman" w:cs="Times New Roman" w:eastAsia="Times New Roman" w:hAnsi="Times New Roman"/>
          <w:sz w:val="14"/>
          <w:szCs w:val="14"/>
          <w:color w:val="auto"/>
        </w:rPr>
        <w:t>The provisions described in this section, as well as those described under the “Description of Capital Stock,” “Description of Debt Securities” and “Description of Warrants” will apply to the securities included in each unit, to the extent relevant and as may be updated in any prospectus supplements.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Issuance in Series</w:t>
      </w:r>
    </w:p>
    <w:p>
      <w:pPr>
        <w:spacing w:after="0" w:line="132" w:lineRule="exact"/>
        <w:rPr>
          <w:sz w:val="20"/>
          <w:szCs w:val="20"/>
          <w:color w:val="auto"/>
        </w:rPr>
      </w:pPr>
    </w:p>
    <w:p>
      <w:pPr>
        <w:ind w:right="240" w:firstLine="249"/>
        <w:spacing w:after="0" w:line="278" w:lineRule="auto"/>
        <w:rPr>
          <w:sz w:val="20"/>
          <w:szCs w:val="20"/>
          <w:color w:val="auto"/>
        </w:rPr>
      </w:pPr>
      <w:r>
        <w:rPr>
          <w:rFonts w:ascii="Times New Roman" w:cs="Times New Roman" w:eastAsia="Times New Roman" w:hAnsi="Times New Roman"/>
          <w:sz w:val="14"/>
          <w:szCs w:val="14"/>
          <w:color w:val="auto"/>
        </w:rPr>
        <w:t>We may issue units in such amounts and in as many distinct series as we wish. This section summarizes terms of the units that apply generally to all series. Most of the financial and other specific terms of a particular series will be described in the applicable prospectus supplement.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Unit Agreements</w:t>
      </w:r>
    </w:p>
    <w:p>
      <w:pPr>
        <w:spacing w:after="0" w:line="132" w:lineRule="exact"/>
        <w:rPr>
          <w:sz w:val="20"/>
          <w:szCs w:val="20"/>
          <w:color w:val="auto"/>
        </w:rPr>
      </w:pPr>
    </w:p>
    <w:p>
      <w:pPr>
        <w:ind w:right="20" w:firstLine="249"/>
        <w:spacing w:after="0" w:line="278" w:lineRule="auto"/>
        <w:rPr>
          <w:sz w:val="20"/>
          <w:szCs w:val="20"/>
          <w:color w:val="auto"/>
        </w:rPr>
      </w:pPr>
      <w:r>
        <w:rPr>
          <w:rFonts w:ascii="Times New Roman" w:cs="Times New Roman" w:eastAsia="Times New Roman" w:hAnsi="Times New Roman"/>
          <w:sz w:val="14"/>
          <w:szCs w:val="14"/>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provisions will generally apply to all unit agreements unless otherwise stated in the applicable prospectus supplement:</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Modification without Consent</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and the applicable unit agent may amend any unit or unit agreement without the consent of any holder:</w:t>
      </w:r>
    </w:p>
    <w:p>
      <w:pPr>
        <w:spacing w:after="0" w:line="130" w:lineRule="exact"/>
        <w:rPr>
          <w:sz w:val="20"/>
          <w:szCs w:val="20"/>
          <w:color w:val="auto"/>
        </w:rPr>
      </w:pPr>
    </w:p>
    <w:p>
      <w:pPr>
        <w:ind w:left="500" w:hanging="248"/>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including modifying any provisions of the governing unit agreement that differ from those described below;</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correct or supplement any defective or inconsistent provision; 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we believe is necessary or desirable and will not adversely affect the interests of the affected holders in any material respect.</w:t>
      </w:r>
    </w:p>
    <w:p>
      <w:pPr>
        <w:spacing w:after="0" w:line="130"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Modification with Consent</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may not amend any particular unit or a unit agreement with respect to any particular unit unless we obtain the consent of the holder of that unit, if the amendment would:</w:t>
      </w:r>
    </w:p>
    <w:p>
      <w:pPr>
        <w:spacing w:after="0" w:line="130" w:lineRule="exact"/>
        <w:rPr>
          <w:sz w:val="20"/>
          <w:szCs w:val="20"/>
          <w:color w:val="auto"/>
        </w:rPr>
      </w:pPr>
    </w:p>
    <w:p>
      <w:pPr>
        <w:ind w:left="500" w:right="100" w:hanging="248"/>
        <w:spacing w:after="0" w:line="278" w:lineRule="auto"/>
        <w:tabs>
          <w:tab w:leader="none" w:pos="49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84" w:lineRule="exact"/>
        <w:rPr>
          <w:rFonts w:ascii="Times New Roman" w:cs="Times New Roman" w:eastAsia="Times New Roman" w:hAnsi="Times New Roman"/>
          <w:sz w:val="14"/>
          <w:szCs w:val="14"/>
          <w:color w:val="auto"/>
        </w:rPr>
      </w:pPr>
    </w:p>
    <w:p>
      <w:pPr>
        <w:ind w:left="500" w:right="80" w:hanging="248"/>
        <w:spacing w:after="0" w:line="278" w:lineRule="auto"/>
        <w:tabs>
          <w:tab w:leader="none" w:pos="49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other change to a particular unit agreement and the units issued under that agreement would require the following approval:</w:t>
      </w:r>
    </w:p>
    <w:p>
      <w:pPr>
        <w:spacing w:after="0" w:line="130" w:lineRule="exact"/>
        <w:rPr>
          <w:sz w:val="20"/>
          <w:szCs w:val="20"/>
          <w:color w:val="auto"/>
        </w:rPr>
      </w:pPr>
    </w:p>
    <w:p>
      <w:pPr>
        <w:ind w:left="500" w:hanging="248"/>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the units of a particular series issued under that agreement, the change must be approved by the holders of a majority of the outstanding units of that series; or</w:t>
      </w:r>
    </w:p>
    <w:p>
      <w:pPr>
        <w:spacing w:after="0" w:line="129" w:lineRule="exact"/>
        <w:rPr>
          <w:rFonts w:ascii="Times New Roman" w:cs="Times New Roman" w:eastAsia="Times New Roman" w:hAnsi="Times New Roman"/>
          <w:sz w:val="14"/>
          <w:szCs w:val="14"/>
          <w:color w:val="auto"/>
        </w:rPr>
      </w:pPr>
    </w:p>
    <w:p>
      <w:pPr>
        <w:ind w:left="500" w:right="180" w:hanging="248"/>
        <w:spacing w:after="0" w:line="278" w:lineRule="auto"/>
        <w:tabs>
          <w:tab w:leader="none" w:pos="49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provisions regarding changes with majority approval also apply to changes affecting any securities issued under a unit agreement, as the governing document.</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Unit Agreements Will Not Be Qualified under Trust Indenture Act</w:t>
      </w:r>
    </w:p>
    <w:p>
      <w:pPr>
        <w:spacing w:after="0" w:line="132" w:lineRule="exact"/>
        <w:rPr>
          <w:sz w:val="20"/>
          <w:szCs w:val="20"/>
          <w:color w:val="auto"/>
        </w:rPr>
      </w:pPr>
    </w:p>
    <w:p>
      <w:pPr>
        <w:ind w:right="100" w:firstLine="249"/>
        <w:spacing w:after="0" w:line="278" w:lineRule="auto"/>
        <w:rPr>
          <w:sz w:val="20"/>
          <w:szCs w:val="20"/>
          <w:color w:val="auto"/>
        </w:rPr>
      </w:pPr>
      <w:r>
        <w:rPr>
          <w:rFonts w:ascii="Times New Roman" w:cs="Times New Roman" w:eastAsia="Times New Roman" w:hAnsi="Times New Roman"/>
          <w:sz w:val="14"/>
          <w:szCs w:val="14"/>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Mergers and Similar Transactions Permitted; No Restrictive Covenants or Events of Default</w:t>
      </w:r>
    </w:p>
    <w:p>
      <w:pPr>
        <w:spacing w:after="0" w:line="132" w:lineRule="exact"/>
        <w:rPr>
          <w:sz w:val="20"/>
          <w:szCs w:val="20"/>
          <w:color w:val="auto"/>
        </w:rPr>
      </w:pPr>
    </w:p>
    <w:p>
      <w:pPr>
        <w:ind w:right="20" w:firstLine="249"/>
        <w:spacing w:after="0" w:line="278" w:lineRule="auto"/>
        <w:rPr>
          <w:sz w:val="20"/>
          <w:szCs w:val="20"/>
          <w:color w:val="auto"/>
        </w:rPr>
      </w:pPr>
      <w:r>
        <w:rPr>
          <w:rFonts w:ascii="Times New Roman" w:cs="Times New Roman" w:eastAsia="Times New Roman" w:hAnsi="Times New Roman"/>
          <w:sz w:val="14"/>
          <w:szCs w:val="14"/>
          <w:color w:val="auto"/>
        </w:rPr>
        <w:t>The unit agreements will not restrict our ability to merge or consolidate with, or sell our assets to, another corporation or other entity or to engage in any other transactions. If at any time we merge or consolidate with, or sell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60"/>
          </w:cols>
          <w:pgMar w:left="300" w:top="1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84" w:lineRule="exact"/>
        <w:rPr>
          <w:sz w:val="20"/>
          <w:szCs w:val="20"/>
          <w:color w:val="auto"/>
        </w:rPr>
      </w:pPr>
    </w:p>
    <w:p>
      <w:pPr>
        <w:ind w:right="340" w:firstLine="249"/>
        <w:spacing w:after="0" w:line="278" w:lineRule="auto"/>
        <w:rPr>
          <w:sz w:val="20"/>
          <w:szCs w:val="20"/>
          <w:color w:val="auto"/>
        </w:rPr>
      </w:pPr>
      <w:r>
        <w:rPr>
          <w:rFonts w:ascii="Times New Roman" w:cs="Times New Roman" w:eastAsia="Times New Roman" w:hAnsi="Times New Roman"/>
          <w:sz w:val="14"/>
          <w:szCs w:val="14"/>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unit agreements and the units will be governed by Delaware law.</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Form, Exchange and Transfer</w:t>
      </w:r>
    </w:p>
    <w:p>
      <w:pPr>
        <w:spacing w:after="0" w:line="132" w:lineRule="exact"/>
        <w:rPr>
          <w:sz w:val="20"/>
          <w:szCs w:val="20"/>
          <w:color w:val="auto"/>
        </w:rPr>
      </w:pPr>
    </w:p>
    <w:p>
      <w:pPr>
        <w:ind w:firstLine="249"/>
        <w:spacing w:after="0" w:line="257" w:lineRule="auto"/>
        <w:rPr>
          <w:sz w:val="20"/>
          <w:szCs w:val="20"/>
          <w:color w:val="auto"/>
        </w:rPr>
      </w:pPr>
      <w:r>
        <w:rPr>
          <w:rFonts w:ascii="Times New Roman" w:cs="Times New Roman" w:eastAsia="Times New Roman" w:hAnsi="Times New Roman"/>
          <w:sz w:val="14"/>
          <w:szCs w:val="14"/>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Each unit and all securities comprising the unit will be issued in the same form.</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If we issue any units in registered, non-global form, the following will apply to them.</w:t>
      </w:r>
    </w:p>
    <w:p>
      <w:pPr>
        <w:spacing w:after="0" w:line="130" w:lineRule="exact"/>
        <w:rPr>
          <w:sz w:val="20"/>
          <w:szCs w:val="20"/>
          <w:color w:val="auto"/>
        </w:rPr>
      </w:pPr>
    </w:p>
    <w:p>
      <w:pPr>
        <w:ind w:right="220" w:firstLine="249"/>
        <w:spacing w:after="0" w:line="278" w:lineRule="auto"/>
        <w:rPr>
          <w:sz w:val="20"/>
          <w:szCs w:val="20"/>
          <w:color w:val="auto"/>
        </w:rPr>
      </w:pPr>
      <w:r>
        <w:rPr>
          <w:rFonts w:ascii="Times New Roman" w:cs="Times New Roman" w:eastAsia="Times New Roman" w:hAnsi="Times New Roman"/>
          <w:sz w:val="14"/>
          <w:szCs w:val="14"/>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84" w:lineRule="exact"/>
        <w:rPr>
          <w:sz w:val="20"/>
          <w:szCs w:val="20"/>
          <w:color w:val="auto"/>
        </w:rPr>
      </w:pPr>
    </w:p>
    <w:p>
      <w:pPr>
        <w:ind w:left="500" w:right="260" w:hanging="248"/>
        <w:spacing w:after="0" w:line="278" w:lineRule="auto"/>
        <w:tabs>
          <w:tab w:leader="none" w:pos="49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84" w:lineRule="exact"/>
        <w:rPr>
          <w:rFonts w:ascii="Times New Roman" w:cs="Times New Roman" w:eastAsia="Times New Roman" w:hAnsi="Times New Roman"/>
          <w:sz w:val="14"/>
          <w:szCs w:val="14"/>
          <w:color w:val="auto"/>
        </w:rPr>
      </w:pPr>
    </w:p>
    <w:p>
      <w:pPr>
        <w:jc w:val="both"/>
        <w:ind w:left="500" w:right="160" w:hanging="248"/>
        <w:spacing w:after="0" w:line="262" w:lineRule="auto"/>
        <w:tabs>
          <w:tab w:leader="none" w:pos="49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96" w:lineRule="exact"/>
        <w:rPr>
          <w:rFonts w:ascii="Times New Roman" w:cs="Times New Roman" w:eastAsia="Times New Roman" w:hAnsi="Times New Roman"/>
          <w:sz w:val="14"/>
          <w:szCs w:val="14"/>
          <w:color w:val="auto"/>
        </w:rPr>
      </w:pPr>
    </w:p>
    <w:p>
      <w:pPr>
        <w:ind w:left="500" w:right="60" w:hanging="248"/>
        <w:spacing w:after="0" w:line="257" w:lineRule="auto"/>
        <w:tabs>
          <w:tab w:leader="none" w:pos="49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Only the depositary will be entitled to transfer or exchange a unit in global form, since it will be the sole holder of the unit.</w:t>
      </w:r>
    </w:p>
    <w:p>
      <w:pPr>
        <w:spacing w:after="0" w:line="1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Payments and Notices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40"/>
          </w:cols>
          <w:pgMar w:left="300" w:top="12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32" w:lineRule="exact"/>
        <w:rPr>
          <w:sz w:val="20"/>
          <w:szCs w:val="20"/>
          <w:color w:val="auto"/>
        </w:rPr>
      </w:pPr>
    </w:p>
    <w:p>
      <w:pPr>
        <w:ind w:firstLine="249"/>
        <w:spacing w:after="0" w:line="257" w:lineRule="auto"/>
        <w:rPr>
          <w:sz w:val="20"/>
          <w:szCs w:val="20"/>
          <w:color w:val="auto"/>
        </w:rPr>
      </w:pPr>
      <w:r>
        <w:rPr>
          <w:rFonts w:ascii="Times New Roman" w:cs="Times New Roman" w:eastAsia="Times New Roman" w:hAnsi="Times New Roman"/>
          <w:sz w:val="14"/>
          <w:szCs w:val="14"/>
          <w:color w:val="auto"/>
        </w:rPr>
        <w:t>Selling securityholders are persons or entities that, directly or indirectly, have acquired or will from time to time acquire from us, our securities. Such selling securityholders may be parties to a registration rights agreement with us, or we otherwise may have agreed or will agree to register the resale of their securities. If this prospectus is used by selling securityholders for the resale of any securities registered under this registration statement, information about such selling securityholders, their beneficial ownership of our securities and their relationship with us will be set forth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880"/>
          </w:cols>
          <w:pgMar w:left="300" w:top="125" w:right="7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or any selling securityholders may sell securities:</w:t>
      </w:r>
    </w:p>
    <w:p>
      <w:pPr>
        <w:spacing w:after="0" w:line="130" w:lineRule="exact"/>
        <w:rPr>
          <w:sz w:val="20"/>
          <w:szCs w:val="20"/>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 or any other method permitted by law.</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we may sell securities in “at-the market” offerings (as defined in Rule 415 under the Securities Act of 1933).</w:t>
      </w:r>
    </w:p>
    <w:p>
      <w:pPr>
        <w:spacing w:after="0" w:line="130" w:lineRule="exact"/>
        <w:rPr>
          <w:sz w:val="20"/>
          <w:szCs w:val="20"/>
          <w:color w:val="auto"/>
        </w:rPr>
      </w:pPr>
    </w:p>
    <w:p>
      <w:pPr>
        <w:ind w:right="120" w:firstLine="249"/>
        <w:spacing w:after="0" w:line="257" w:lineRule="auto"/>
        <w:rPr>
          <w:sz w:val="20"/>
          <w:szCs w:val="20"/>
          <w:color w:val="auto"/>
        </w:rPr>
      </w:pPr>
      <w:r>
        <w:rPr>
          <w:rFonts w:ascii="Times New Roman" w:cs="Times New Roman" w:eastAsia="Times New Roman" w:hAnsi="Times New Roman"/>
          <w:sz w:val="14"/>
          <w:szCs w:val="14"/>
          <w:color w:val="auto"/>
        </w:rPr>
        <w:t>Either we or the selling securityholders may directly solicit offers to purchase securities, or agents may be designated to solicit such offers. In the prospectus supplement relating to such offering, either we or the selling securityholders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including block trades, or other methods described in the applicable prospectus supplement.</w:t>
      </w:r>
    </w:p>
    <w:p>
      <w:pPr>
        <w:spacing w:after="0" w:line="1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w:t>
      </w:r>
    </w:p>
    <w:p>
      <w:pPr>
        <w:spacing w:after="0" w:line="130" w:lineRule="exact"/>
        <w:rPr>
          <w:sz w:val="20"/>
          <w:szCs w:val="20"/>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 from time to time;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prospectus supplement with respect to the securities of a particular series will describe the terms of the offering of the securities, including the following:</w:t>
      </w:r>
    </w:p>
    <w:p>
      <w:pPr>
        <w:spacing w:after="0" w:line="130" w:lineRule="exact"/>
        <w:rPr>
          <w:sz w:val="20"/>
          <w:szCs w:val="20"/>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or any underwriters;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the agent or underwriters;</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dealers; and</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30" w:lineRule="exact"/>
        <w:rPr>
          <w:sz w:val="20"/>
          <w:szCs w:val="20"/>
          <w:color w:val="auto"/>
        </w:rPr>
      </w:pPr>
    </w:p>
    <w:p>
      <w:pPr>
        <w:ind w:firstLine="249"/>
        <w:spacing w:after="0" w:line="262" w:lineRule="auto"/>
        <w:rPr>
          <w:sz w:val="20"/>
          <w:szCs w:val="20"/>
          <w:color w:val="auto"/>
        </w:rPr>
      </w:pPr>
      <w:r>
        <w:rPr>
          <w:rFonts w:ascii="Times New Roman" w:cs="Times New Roman" w:eastAsia="Times New Roman" w:hAnsi="Times New Roman"/>
          <w:sz w:val="14"/>
          <w:szCs w:val="14"/>
          <w:color w:val="auto"/>
        </w:rPr>
        <w:t>If any underwriters or agents are used in the sale of the securities in respect of which this prospectus is delivered, we and/or the selling securityholders will enter into an underwriting agreement, sales agreement or other agreement with them at the time of sale to them, and the names of the underwriters or agents and the terms of the related agreement will be set forth in the prospectus supplement relating to such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60"/>
          </w:cols>
          <w:pgMar w:left="300" w:top="1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firstLine="249"/>
        <w:spacing w:after="0" w:line="262" w:lineRule="auto"/>
        <w:rPr>
          <w:sz w:val="20"/>
          <w:szCs w:val="20"/>
          <w:color w:val="auto"/>
        </w:rPr>
      </w:pPr>
      <w:r>
        <w:rPr>
          <w:rFonts w:ascii="Times New Roman" w:cs="Times New Roman" w:eastAsia="Times New Roman" w:hAnsi="Times New Roman"/>
          <w:sz w:val="14"/>
          <w:szCs w:val="14"/>
          <w:color w:val="auto"/>
        </w:rPr>
        <w:t>In connection with the offering of securities, we or the selling securityholders may grant to the underwriters an option to purchase additional securities with an additional underwriting commission, as may be set forth in the accompanying prospectus supplement. If we or the selling securityholders grant any such option, the terms of such option will be set forth in the prospectus supplement for such securities.</w:t>
      </w:r>
    </w:p>
    <w:p>
      <w:pPr>
        <w:spacing w:after="0" w:line="96" w:lineRule="exact"/>
        <w:rPr>
          <w:sz w:val="20"/>
          <w:szCs w:val="20"/>
          <w:color w:val="auto"/>
        </w:rPr>
      </w:pPr>
    </w:p>
    <w:p>
      <w:pPr>
        <w:ind w:right="100" w:firstLine="249"/>
        <w:spacing w:after="0" w:line="278" w:lineRule="auto"/>
        <w:rPr>
          <w:sz w:val="20"/>
          <w:szCs w:val="20"/>
          <w:color w:val="auto"/>
        </w:rPr>
      </w:pPr>
      <w:r>
        <w:rPr>
          <w:rFonts w:ascii="Times New Roman" w:cs="Times New Roman" w:eastAsia="Times New Roman" w:hAnsi="Times New Roman"/>
          <w:sz w:val="14"/>
          <w:szCs w:val="14"/>
          <w:color w:val="auto"/>
        </w:rPr>
        <w:t>If a dealer is used in the sale of the securities in respect of which the prospectus is delivered, we or the selling securityholders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84" w:lineRule="exact"/>
        <w:rPr>
          <w:sz w:val="20"/>
          <w:szCs w:val="20"/>
          <w:color w:val="auto"/>
        </w:rPr>
      </w:pPr>
    </w:p>
    <w:p>
      <w:pPr>
        <w:ind w:right="360" w:firstLine="249"/>
        <w:spacing w:after="0" w:line="262" w:lineRule="auto"/>
        <w:rPr>
          <w:sz w:val="20"/>
          <w:szCs w:val="20"/>
          <w:color w:val="auto"/>
        </w:rPr>
      </w:pPr>
      <w:r>
        <w:rPr>
          <w:rFonts w:ascii="Times New Roman" w:cs="Times New Roman" w:eastAsia="Times New Roman" w:hAnsi="Times New Roman"/>
          <w:sz w:val="14"/>
          <w:szCs w:val="14"/>
          <w:color w:val="auto"/>
        </w:rPr>
        <w:t>Agents, underwriters, dealers and other persons may be entitled under agreements which they may enter into with us or the selling securityholders to indemnification by us or the selling securityholders against certain civil liabilities, including liabilities under the Securities Act, and may be customers of, engage in transactions with or perform services for us in the ordinary course of business.</w:t>
      </w:r>
    </w:p>
    <w:p>
      <w:pPr>
        <w:spacing w:after="0" w:line="96" w:lineRule="exact"/>
        <w:rPr>
          <w:sz w:val="20"/>
          <w:szCs w:val="20"/>
          <w:color w:val="auto"/>
        </w:rPr>
      </w:pPr>
    </w:p>
    <w:p>
      <w:pPr>
        <w:ind w:right="80" w:firstLine="249"/>
        <w:spacing w:after="0" w:line="255" w:lineRule="auto"/>
        <w:rPr>
          <w:sz w:val="20"/>
          <w:szCs w:val="20"/>
          <w:color w:val="auto"/>
        </w:rPr>
      </w:pPr>
      <w:r>
        <w:rPr>
          <w:rFonts w:ascii="Times New Roman" w:cs="Times New Roman" w:eastAsia="Times New Roman" w:hAnsi="Times New Roman"/>
          <w:sz w:val="14"/>
          <w:szCs w:val="14"/>
          <w:color w:val="auto"/>
        </w:rPr>
        <w:t>If so indicated in the applicable prospectus supplement, we or the selling securityholders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00" w:lineRule="exact"/>
        <w:rPr>
          <w:sz w:val="20"/>
          <w:szCs w:val="20"/>
          <w:color w:val="auto"/>
        </w:rPr>
      </w:pPr>
    </w:p>
    <w:p>
      <w:pPr>
        <w:ind w:left="500" w:hanging="248"/>
        <w:spacing w:after="0"/>
        <w:tabs>
          <w:tab w:leader="none" w:pos="5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 by an institution of the securities covered under that contract shall not at the time of delivery be prohibited under the laws of the jurisdiction to which that institution is subject; and</w:t>
      </w:r>
    </w:p>
    <w:p>
      <w:pPr>
        <w:spacing w:after="0" w:line="141" w:lineRule="exact"/>
        <w:rPr>
          <w:rFonts w:ascii="Times New Roman" w:cs="Times New Roman" w:eastAsia="Times New Roman" w:hAnsi="Times New Roman"/>
          <w:sz w:val="13"/>
          <w:szCs w:val="13"/>
          <w:color w:val="auto"/>
        </w:rPr>
      </w:pPr>
    </w:p>
    <w:p>
      <w:pPr>
        <w:ind w:left="500" w:right="20" w:hanging="248"/>
        <w:spacing w:after="0" w:line="278" w:lineRule="auto"/>
        <w:tabs>
          <w:tab w:leader="none" w:pos="49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84" w:lineRule="exact"/>
        <w:rPr>
          <w:sz w:val="20"/>
          <w:szCs w:val="20"/>
          <w:color w:val="auto"/>
        </w:rPr>
      </w:pPr>
    </w:p>
    <w:p>
      <w:pPr>
        <w:ind w:right="100" w:firstLine="249"/>
        <w:spacing w:after="0" w:line="257" w:lineRule="auto"/>
        <w:rPr>
          <w:sz w:val="20"/>
          <w:szCs w:val="20"/>
          <w:color w:val="auto"/>
        </w:rPr>
      </w:pPr>
      <w:r>
        <w:rPr>
          <w:rFonts w:ascii="Times New Roman" w:cs="Times New Roman" w:eastAsia="Times New Roman" w:hAnsi="Times New Roman"/>
          <w:sz w:val="14"/>
          <w:szCs w:val="14"/>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or the selling securityholders. Any remarketing firm will be identified and the terms of its agreement, if any, with us or the selling securityholders and its compensation will be described in the applicable prospectus supplement. Remarketing firms may be deemed to be underwriters in connection with their remarketing of offered securities.</w:t>
      </w:r>
    </w:p>
    <w:p>
      <w:pPr>
        <w:spacing w:after="0" w:line="100" w:lineRule="exact"/>
        <w:rPr>
          <w:sz w:val="20"/>
          <w:szCs w:val="20"/>
          <w:color w:val="auto"/>
        </w:rPr>
      </w:pPr>
    </w:p>
    <w:p>
      <w:pPr>
        <w:ind w:right="80" w:firstLine="249"/>
        <w:spacing w:after="0" w:line="278"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84" w:lineRule="exact"/>
        <w:rPr>
          <w:sz w:val="20"/>
          <w:szCs w:val="20"/>
          <w:color w:val="auto"/>
        </w:rPr>
      </w:pPr>
    </w:p>
    <w:p>
      <w:pPr>
        <w:jc w:val="both"/>
        <w:ind w:right="20" w:firstLine="249"/>
        <w:spacing w:after="0" w:line="274" w:lineRule="auto"/>
        <w:rPr>
          <w:sz w:val="20"/>
          <w:szCs w:val="20"/>
          <w:color w:val="auto"/>
        </w:rPr>
      </w:pPr>
      <w:r>
        <w:rPr>
          <w:rFonts w:ascii="Times New Roman" w:cs="Times New Roman" w:eastAsia="Times New Roman" w:hAnsi="Times New Roman"/>
          <w:sz w:val="13"/>
          <w:szCs w:val="13"/>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w:t>
      </w:r>
    </w:p>
    <w:p>
      <w:pPr>
        <w:spacing w:after="0" w:line="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3"/>
          <w:szCs w:val="13"/>
          <w:color w:val="auto"/>
        </w:rPr>
        <w:t>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249"/>
        <w:spacing w:after="0" w:line="274" w:lineRule="auto"/>
        <w:rPr>
          <w:sz w:val="20"/>
          <w:szCs w:val="20"/>
          <w:color w:val="auto"/>
        </w:rPr>
      </w:pPr>
      <w:r>
        <w:rPr>
          <w:rFonts w:ascii="Times New Roman" w:cs="Times New Roman" w:eastAsia="Times New Roman" w:hAnsi="Times New Roman"/>
          <w:sz w:val="13"/>
          <w:szCs w:val="13"/>
          <w:color w:val="auto"/>
        </w:rPr>
        <w:t>We may engage in “at the market” offerings to or through a market maker or into an existing trading market in accordance with Rule 415(a)(4) under the Securities Act. In addition, we or the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the selling securityholders or borrowed from us or the selling securityholders or others to settle those sales or to close out any related open borrowings of stock, and may use securities received from us or the selling securityholders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the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89" w:lineRule="exact"/>
        <w:rPr>
          <w:sz w:val="20"/>
          <w:szCs w:val="20"/>
          <w:color w:val="auto"/>
        </w:rPr>
      </w:pPr>
    </w:p>
    <w:p>
      <w:pPr>
        <w:ind w:right="120" w:firstLine="249"/>
        <w:spacing w:after="0" w:line="257" w:lineRule="auto"/>
        <w:rPr>
          <w:sz w:val="20"/>
          <w:szCs w:val="20"/>
          <w:color w:val="auto"/>
        </w:rPr>
      </w:pPr>
      <w:r>
        <w:rPr>
          <w:rFonts w:ascii="Times New Roman" w:cs="Times New Roman" w:eastAsia="Times New Roman" w:hAnsi="Times New Roman"/>
          <w:sz w:val="14"/>
          <w:szCs w:val="14"/>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spacing w:after="0" w:line="100" w:lineRule="exact"/>
        <w:rPr>
          <w:sz w:val="20"/>
          <w:szCs w:val="20"/>
          <w:color w:val="auto"/>
        </w:rPr>
      </w:pPr>
    </w:p>
    <w:p>
      <w:pPr>
        <w:ind w:right="20" w:firstLine="249"/>
        <w:spacing w:after="0" w:line="278" w:lineRule="auto"/>
        <w:rPr>
          <w:sz w:val="20"/>
          <w:szCs w:val="20"/>
          <w:color w:val="auto"/>
        </w:rPr>
      </w:pPr>
      <w:r>
        <w:rPr>
          <w:rFonts w:ascii="Times New Roman" w:cs="Times New Roman" w:eastAsia="Times New Roman" w:hAnsi="Times New Roman"/>
          <w:sz w:val="14"/>
          <w:szCs w:val="14"/>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specific terms of any lock-up provisions in respect of any given offering will be described in the applicable prospectus supplement.</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underwriters, dealers and agents may engage in transactions with us, or perform services for us, in the ordinary course of business for which they receive compensation.</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anticipated date of delivery of offered securities will be set forth in the applicable prospectus supplement relating to each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60"/>
          </w:cols>
          <w:pgMar w:left="300" w:top="1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validity of the securities offered by this prospectus will be passed upon for us by Goodwin Procter LLP, Redwood City, California.</w:t>
      </w:r>
    </w:p>
    <w:p>
      <w:pPr>
        <w:spacing w:after="0" w:line="1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2" w:lineRule="exact"/>
        <w:rPr>
          <w:sz w:val="20"/>
          <w:szCs w:val="20"/>
          <w:color w:val="auto"/>
        </w:rPr>
      </w:pPr>
    </w:p>
    <w:p>
      <w:pPr>
        <w:ind w:right="20" w:firstLine="249"/>
        <w:spacing w:after="0" w:line="262" w:lineRule="auto"/>
        <w:rPr>
          <w:sz w:val="20"/>
          <w:szCs w:val="20"/>
          <w:color w:val="auto"/>
        </w:rPr>
      </w:pPr>
      <w:r>
        <w:rPr>
          <w:rFonts w:ascii="Times New Roman" w:cs="Times New Roman" w:eastAsia="Times New Roman" w:hAnsi="Times New Roman"/>
          <w:sz w:val="14"/>
          <w:szCs w:val="14"/>
          <w:color w:val="auto"/>
        </w:rPr>
        <w:t>The financial statements of Rocket Lab USA, Inc. incorporated by reference in this Prospectus, and the effectiveness of Rocket Lab USA,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2" w:lineRule="exact"/>
        <w:rPr>
          <w:sz w:val="20"/>
          <w:szCs w:val="20"/>
          <w:color w:val="auto"/>
        </w:rPr>
      </w:pPr>
    </w:p>
    <w:p>
      <w:pPr>
        <w:ind w:firstLine="249"/>
        <w:spacing w:after="0" w:line="257"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an Internet site that contains reports, proxy and information statements, and other information regarding us. Our SEC filings are available to the public over the Internet at the SEC’s website at www.sec.gov. Copies of certain information filed by us with the SEC are also available on our website at www.rocketlabusa.com. Our website and the information contained or connected to our website is not a part of this prospectus or any prospectus supplement and is not incorporated by reference in this prospectus or any prospectus supplement.</w:t>
      </w:r>
    </w:p>
    <w:p>
      <w:pPr>
        <w:spacing w:after="0" w:line="100" w:lineRule="exact"/>
        <w:rPr>
          <w:sz w:val="20"/>
          <w:szCs w:val="20"/>
          <w:color w:val="auto"/>
        </w:rPr>
      </w:pPr>
    </w:p>
    <w:p>
      <w:pPr>
        <w:ind w:right="40" w:firstLine="249"/>
        <w:spacing w:after="0" w:line="252"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we filed with the SEC under the Securities Act with respect to the securities offered by this prospectus and the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of which this prospectus is a part,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40"/>
          </w:cols>
          <w:pgMar w:left="300" w:top="125"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32" w:lineRule="exact"/>
        <w:rPr>
          <w:sz w:val="20"/>
          <w:szCs w:val="20"/>
          <w:color w:val="auto"/>
        </w:rPr>
      </w:pPr>
    </w:p>
    <w:p>
      <w:pPr>
        <w:ind w:right="120" w:firstLine="249"/>
        <w:spacing w:after="0" w:line="252"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documents subsequently filed by us with the SEC under Sections 13(a), 13(c), 14 or 15(d) of the Exchange Act (in each case, other than those documents or the portions of those documents deemed furnished and not filed in accordance with SEC rules, including Items 2.02 and 7.01 of Form 8-K) until the offering of the securities under the registration statement is terminated or completed:</w:t>
      </w:r>
    </w:p>
    <w:p>
      <w:pPr>
        <w:spacing w:after="0" w:line="105" w:lineRule="exact"/>
        <w:rPr>
          <w:sz w:val="20"/>
          <w:szCs w:val="20"/>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8">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February 27, 2025;</w:t>
      </w:r>
    </w:p>
    <w:p>
      <w:pPr>
        <w:spacing w:after="0" w:line="12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 on Form 8-K filed with the SEC on </w:t>
      </w:r>
      <w:hyperlink r:id="rId29">
        <w:r>
          <w:rPr>
            <w:rFonts w:ascii="Times New Roman" w:cs="Times New Roman" w:eastAsia="Times New Roman" w:hAnsi="Times New Roman"/>
            <w:sz w:val="14"/>
            <w:szCs w:val="14"/>
            <w:u w:val="single" w:color="auto"/>
            <w:color w:val="0000FF"/>
          </w:rPr>
          <w:t>January 10, 2025</w:t>
        </w:r>
      </w:hyperlink>
      <w:r>
        <w:rPr>
          <w:rFonts w:ascii="Times New Roman" w:cs="Times New Roman" w:eastAsia="Times New Roman" w:hAnsi="Times New Roman"/>
          <w:sz w:val="14"/>
          <w:szCs w:val="14"/>
          <w:color w:val="auto"/>
        </w:rPr>
        <w:t>; and</w:t>
      </w:r>
    </w:p>
    <w:p>
      <w:pPr>
        <w:spacing w:after="0" w:line="129" w:lineRule="exact"/>
        <w:rPr>
          <w:rFonts w:ascii="Times New Roman" w:cs="Times New Roman" w:eastAsia="Times New Roman" w:hAnsi="Times New Roman"/>
          <w:sz w:val="14"/>
          <w:szCs w:val="14"/>
          <w:color w:val="auto"/>
        </w:rPr>
      </w:pPr>
    </w:p>
    <w:p>
      <w:pPr>
        <w:ind w:left="500" w:right="160" w:hanging="248"/>
        <w:spacing w:after="0" w:line="318" w:lineRule="auto"/>
        <w:tabs>
          <w:tab w:leader="none" w:pos="496"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capital stock contained on </w:t>
      </w:r>
      <w:hyperlink r:id="rId30">
        <w:r>
          <w:rPr>
            <w:rFonts w:ascii="Times New Roman" w:cs="Times New Roman" w:eastAsia="Times New Roman" w:hAnsi="Times New Roman"/>
            <w:sz w:val="13"/>
            <w:szCs w:val="13"/>
            <w:u w:val="single" w:color="auto"/>
            <w:color w:val="0000FF"/>
          </w:rPr>
          <w:t>Form 8-A</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 xml:space="preserve">filed on September 24, 2020, as the description therein has been updated and superseded by the description of our capital stock contained in </w:t>
      </w:r>
      <w:hyperlink r:id="rId31">
        <w:r>
          <w:rPr>
            <w:rFonts w:ascii="Times New Roman" w:cs="Times New Roman" w:eastAsia="Times New Roman" w:hAnsi="Times New Roman"/>
            <w:sz w:val="13"/>
            <w:szCs w:val="13"/>
            <w:u w:val="single" w:color="auto"/>
            <w:color w:val="0000FF"/>
          </w:rPr>
          <w:t>Exhibit 4.1</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to our Annual Report on Form 10-K filed with the SEC on February 27, 2025 including any amendments or reports filed for the purpose of updating such description.</w:t>
      </w:r>
    </w:p>
    <w:p>
      <w:pPr>
        <w:spacing w:after="0" w:line="61" w:lineRule="exact"/>
        <w:rPr>
          <w:rFonts w:ascii="Times New Roman" w:cs="Times New Roman" w:eastAsia="Times New Roman" w:hAnsi="Times New Roman"/>
          <w:sz w:val="13"/>
          <w:szCs w:val="13"/>
          <w:color w:val="auto"/>
        </w:rPr>
      </w:pPr>
    </w:p>
    <w:p>
      <w:pPr>
        <w:jc w:val="both"/>
        <w:ind w:firstLine="249"/>
        <w:spacing w:after="0" w:line="262" w:lineRule="auto"/>
        <w:rPr>
          <w:sz w:val="20"/>
          <w:szCs w:val="20"/>
          <w:color w:val="auto"/>
        </w:rPr>
      </w:pPr>
      <w:r>
        <w:rPr>
          <w:rFonts w:ascii="Times New Roman" w:cs="Times New Roman" w:eastAsia="Times New Roman" w:hAnsi="Times New Roman"/>
          <w:sz w:val="14"/>
          <w:szCs w:val="14"/>
          <w:color w:val="auto"/>
        </w:rPr>
        <w:t>Upon request, we will provide, without charge, to each person, including any beneficial owner, to whom a copy of this prospectus is delivered, upon written or oral request, a copy of the documents incorporated by reference into this prospectus but not delivered with the prospectus. You may request a copy of these filings, and any exhibits we have specifically incorporated by reference as an exhibit in this prospectus, at no cost by contacting us at the following address and telephone number:</w:t>
      </w:r>
    </w:p>
    <w:p>
      <w:pPr>
        <w:spacing w:after="0" w:line="96" w:lineRule="exact"/>
        <w:rPr>
          <w:rFonts w:ascii="Times New Roman" w:cs="Times New Roman" w:eastAsia="Times New Roman" w:hAnsi="Times New Roman"/>
          <w:sz w:val="13"/>
          <w:szCs w:val="13"/>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Rocket Lab USA, Inc.</w:t>
      </w:r>
    </w:p>
    <w:p>
      <w:pPr>
        <w:spacing w:after="0" w:line="20" w:lineRule="exact"/>
        <w:rPr>
          <w:rFonts w:ascii="Times New Roman" w:cs="Times New Roman" w:eastAsia="Times New Roman" w:hAnsi="Times New Roman"/>
          <w:sz w:val="13"/>
          <w:szCs w:val="13"/>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3881 McGowen Street</w:t>
      </w:r>
    </w:p>
    <w:p>
      <w:pPr>
        <w:spacing w:after="0" w:line="5" w:lineRule="exact"/>
        <w:rPr>
          <w:rFonts w:ascii="Times New Roman" w:cs="Times New Roman" w:eastAsia="Times New Roman" w:hAnsi="Times New Roman"/>
          <w:sz w:val="13"/>
          <w:szCs w:val="13"/>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Long Beach, California 90808</w:t>
      </w:r>
    </w:p>
    <w:p>
      <w:pPr>
        <w:spacing w:after="0" w:line="5" w:lineRule="exact"/>
        <w:rPr>
          <w:rFonts w:ascii="Times New Roman" w:cs="Times New Roman" w:eastAsia="Times New Roman" w:hAnsi="Times New Roman"/>
          <w:sz w:val="13"/>
          <w:szCs w:val="13"/>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5" w:lineRule="exact"/>
        <w:rPr>
          <w:rFonts w:ascii="Times New Roman" w:cs="Times New Roman" w:eastAsia="Times New Roman" w:hAnsi="Times New Roman"/>
          <w:sz w:val="13"/>
          <w:szCs w:val="13"/>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(714) 465-5737</w:t>
      </w:r>
    </w:p>
    <w:p>
      <w:pPr>
        <w:spacing w:after="0" w:line="115" w:lineRule="exact"/>
        <w:rPr>
          <w:rFonts w:ascii="Times New Roman" w:cs="Times New Roman" w:eastAsia="Times New Roman" w:hAnsi="Times New Roman"/>
          <w:sz w:val="13"/>
          <w:szCs w:val="13"/>
          <w:color w:val="auto"/>
        </w:rPr>
      </w:pPr>
    </w:p>
    <w:p>
      <w:pPr>
        <w:ind w:right="40" w:firstLine="249"/>
        <w:spacing w:after="0" w:line="278" w:lineRule="auto"/>
        <w:rPr>
          <w:sz w:val="20"/>
          <w:szCs w:val="20"/>
          <w:color w:val="auto"/>
        </w:rPr>
      </w:pPr>
      <w:r>
        <w:rPr>
          <w:rFonts w:ascii="Times New Roman" w:cs="Times New Roman" w:eastAsia="Times New Roman" w:hAnsi="Times New Roman"/>
          <w:sz w:val="14"/>
          <w:szCs w:val="14"/>
          <w:color w:val="auto"/>
        </w:rPr>
        <w:t>You may also access these documents, free of charge on the SEC’s website at www.sec.gov or on our website at www.rocketlabusa.com. Information contained on our website is not incorporated by reference into this prospectus, and you should not consider any information on, or that can be accessed from, our website as part of this prospectus or any accompanying prospectus supplement.</w:t>
      </w:r>
    </w:p>
    <w:p>
      <w:pPr>
        <w:spacing w:after="0" w:line="84" w:lineRule="exact"/>
        <w:rPr>
          <w:rFonts w:ascii="Times New Roman" w:cs="Times New Roman" w:eastAsia="Times New Roman" w:hAnsi="Times New Roman"/>
          <w:sz w:val="13"/>
          <w:szCs w:val="13"/>
          <w:color w:val="auto"/>
        </w:rPr>
      </w:pPr>
    </w:p>
    <w:p>
      <w:pPr>
        <w:ind w:right="20" w:firstLine="249"/>
        <w:spacing w:after="0" w:line="278" w:lineRule="auto"/>
        <w:rPr>
          <w:sz w:val="20"/>
          <w:szCs w:val="20"/>
          <w:color w:val="auto"/>
        </w:rPr>
      </w:pPr>
      <w:r>
        <w:rPr>
          <w:rFonts w:ascii="Times New Roman" w:cs="Times New Roman" w:eastAsia="Times New Roman" w:hAnsi="Times New Roman"/>
          <w:sz w:val="14"/>
          <w:szCs w:val="14"/>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84" w:lineRule="exact"/>
        <w:rPr>
          <w:rFonts w:ascii="Times New Roman" w:cs="Times New Roman" w:eastAsia="Times New Roman" w:hAnsi="Times New Roman"/>
          <w:sz w:val="13"/>
          <w:szCs w:val="13"/>
          <w:color w:val="auto"/>
        </w:rPr>
      </w:pPr>
    </w:p>
    <w:p>
      <w:pPr>
        <w:jc w:val="both"/>
        <w:ind w:right="60" w:firstLine="249"/>
        <w:spacing w:after="0" w:line="262" w:lineRule="auto"/>
        <w:rPr>
          <w:sz w:val="20"/>
          <w:szCs w:val="20"/>
          <w:color w:val="auto"/>
        </w:rPr>
      </w:pPr>
      <w:r>
        <w:rPr>
          <w:rFonts w:ascii="Times New Roman" w:cs="Times New Roman" w:eastAsia="Times New Roman" w:hAnsi="Times New Roman"/>
          <w:sz w:val="14"/>
          <w:szCs w:val="14"/>
          <w:color w:val="auto"/>
        </w:rPr>
        <w:t>We have not authorized anyone to provide you any information other than that contained or incorporated by reference into this prospectus.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2" w:lineRule="exact"/>
        <w:rPr>
          <w:rFonts w:ascii="Times New Roman" w:cs="Times New Roman" w:eastAsia="Times New Roman" w:hAnsi="Times New Roman"/>
          <w:sz w:val="13"/>
          <w:szCs w:val="13"/>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20"/>
          </w:cols>
          <w:pgMar w:left="300" w:top="125" w:right="37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814705</wp:posOffset>
            </wp:positionV>
            <wp:extent cx="716407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$3,000,000,000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320675</wp:posOffset>
            </wp:positionV>
            <wp:extent cx="1471295" cy="554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1471295" cy="5543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1013460</wp:posOffset>
            </wp:positionV>
            <wp:extent cx="716407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185420</wp:posOffset>
            </wp:positionV>
            <wp:extent cx="716407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4000" w:type="dxa"/>
            <w:vAlign w:val="bottom"/>
          </w:tcPr>
          <w:p>
            <w:pPr>
              <w:jc w:val="center"/>
              <w:ind w:left="81"/>
              <w:spacing w:after="0"/>
              <w:rPr>
                <w:sz w:val="20"/>
                <w:szCs w:val="20"/>
                <w:color w:val="auto"/>
              </w:rPr>
            </w:pPr>
            <w:r>
              <w:rPr>
                <w:rFonts w:ascii="Times New Roman" w:cs="Times New Roman" w:eastAsia="Times New Roman" w:hAnsi="Times New Roman"/>
                <w:sz w:val="14"/>
                <w:szCs w:val="14"/>
                <w:color w:val="auto"/>
                <w:w w:val="98"/>
              </w:rPr>
              <w:t>(listed in alphabetical order)</w:t>
            </w:r>
          </w:p>
        </w:tc>
        <w:tc>
          <w:tcPr>
            <w:tcW w:w="3720" w:type="dxa"/>
            <w:vAlign w:val="bottom"/>
          </w:tcPr>
          <w:p>
            <w:pPr>
              <w:spacing w:after="0"/>
              <w:rPr>
                <w:sz w:val="15"/>
                <w:szCs w:val="15"/>
                <w:color w:val="auto"/>
              </w:rPr>
            </w:pPr>
          </w:p>
        </w:tc>
      </w:tr>
      <w:tr>
        <w:trPr>
          <w:trHeight w:val="226"/>
        </w:trPr>
        <w:tc>
          <w:tcPr>
            <w:tcW w:w="3560" w:type="dxa"/>
            <w:vAlign w:val="bottom"/>
          </w:tcPr>
          <w:p>
            <w:pPr>
              <w:jc w:val="center"/>
              <w:ind w:left="117"/>
              <w:spacing w:after="0"/>
              <w:rPr>
                <w:sz w:val="20"/>
                <w:szCs w:val="20"/>
                <w:color w:val="auto"/>
              </w:rPr>
            </w:pPr>
            <w:r>
              <w:rPr>
                <w:rFonts w:ascii="Times New Roman" w:cs="Times New Roman" w:eastAsia="Times New Roman" w:hAnsi="Times New Roman"/>
                <w:sz w:val="17"/>
                <w:szCs w:val="17"/>
                <w:b w:val="1"/>
                <w:bCs w:val="1"/>
                <w:color w:val="auto"/>
                <w:w w:val="96"/>
              </w:rPr>
              <w:t>Baird</w:t>
            </w:r>
          </w:p>
        </w:tc>
        <w:tc>
          <w:tcPr>
            <w:tcW w:w="4000" w:type="dxa"/>
            <w:vAlign w:val="bottom"/>
          </w:tcPr>
          <w:p>
            <w:pPr>
              <w:jc w:val="center"/>
              <w:ind w:left="101"/>
              <w:spacing w:after="0"/>
              <w:rPr>
                <w:sz w:val="20"/>
                <w:szCs w:val="20"/>
                <w:color w:val="auto"/>
              </w:rPr>
            </w:pPr>
            <w:r>
              <w:rPr>
                <w:rFonts w:ascii="Times New Roman" w:cs="Times New Roman" w:eastAsia="Times New Roman" w:hAnsi="Times New Roman"/>
                <w:sz w:val="17"/>
                <w:szCs w:val="17"/>
                <w:b w:val="1"/>
                <w:bCs w:val="1"/>
                <w:color w:val="auto"/>
                <w:w w:val="97"/>
              </w:rPr>
              <w:t>BofA Securities</w:t>
            </w:r>
          </w:p>
        </w:tc>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BTIG</w:t>
            </w:r>
          </w:p>
        </w:tc>
      </w:tr>
      <w:tr>
        <w:trPr>
          <w:trHeight w:val="239"/>
        </w:trPr>
        <w:tc>
          <w:tcPr>
            <w:tcW w:w="3560" w:type="dxa"/>
            <w:vAlign w:val="bottom"/>
          </w:tcPr>
          <w:p>
            <w:pPr>
              <w:jc w:val="center"/>
              <w:ind w:left="117"/>
              <w:spacing w:after="0"/>
              <w:rPr>
                <w:sz w:val="20"/>
                <w:szCs w:val="20"/>
                <w:color w:val="auto"/>
              </w:rPr>
            </w:pPr>
            <w:r>
              <w:rPr>
                <w:rFonts w:ascii="Times New Roman" w:cs="Times New Roman" w:eastAsia="Times New Roman" w:hAnsi="Times New Roman"/>
                <w:sz w:val="17"/>
                <w:szCs w:val="17"/>
                <w:b w:val="1"/>
                <w:bCs w:val="1"/>
                <w:color w:val="auto"/>
              </w:rPr>
              <w:t>Cantor</w:t>
            </w:r>
          </w:p>
        </w:tc>
        <w:tc>
          <w:tcPr>
            <w:tcW w:w="4000" w:type="dxa"/>
            <w:vAlign w:val="bottom"/>
          </w:tcPr>
          <w:p>
            <w:pPr>
              <w:jc w:val="center"/>
              <w:ind w:left="101"/>
              <w:spacing w:after="0"/>
              <w:rPr>
                <w:sz w:val="20"/>
                <w:szCs w:val="20"/>
                <w:color w:val="auto"/>
              </w:rPr>
            </w:pPr>
            <w:r>
              <w:rPr>
                <w:rFonts w:ascii="Times New Roman" w:cs="Times New Roman" w:eastAsia="Times New Roman" w:hAnsi="Times New Roman"/>
                <w:sz w:val="17"/>
                <w:szCs w:val="17"/>
                <w:b w:val="1"/>
                <w:bCs w:val="1"/>
                <w:color w:val="auto"/>
                <w:w w:val="97"/>
              </w:rPr>
              <w:t>Citizens Capital Markets</w:t>
            </w:r>
          </w:p>
        </w:tc>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Craig-Hallum</w:t>
            </w:r>
          </w:p>
        </w:tc>
      </w:tr>
      <w:tr>
        <w:trPr>
          <w:trHeight w:val="239"/>
        </w:trPr>
        <w:tc>
          <w:tcPr>
            <w:tcW w:w="3560" w:type="dxa"/>
            <w:vAlign w:val="bottom"/>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w w:val="97"/>
              </w:rPr>
              <w:t>Deutsche Bank</w:t>
            </w:r>
          </w:p>
        </w:tc>
        <w:tc>
          <w:tcPr>
            <w:tcW w:w="4000" w:type="dxa"/>
            <w:vAlign w:val="bottom"/>
          </w:tcPr>
          <w:p>
            <w:pPr>
              <w:jc w:val="center"/>
              <w:ind w:left="81"/>
              <w:spacing w:after="0"/>
              <w:rPr>
                <w:sz w:val="20"/>
                <w:szCs w:val="20"/>
                <w:color w:val="auto"/>
              </w:rPr>
            </w:pPr>
            <w:r>
              <w:rPr>
                <w:rFonts w:ascii="Times New Roman" w:cs="Times New Roman" w:eastAsia="Times New Roman" w:hAnsi="Times New Roman"/>
                <w:sz w:val="17"/>
                <w:szCs w:val="17"/>
                <w:b w:val="1"/>
                <w:bCs w:val="1"/>
                <w:color w:val="auto"/>
                <w:w w:val="97"/>
              </w:rPr>
              <w:t>Goldman Sachs &amp; Co. LLC</w:t>
            </w:r>
          </w:p>
        </w:tc>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KeyBanc Capital Markets</w:t>
            </w:r>
          </w:p>
        </w:tc>
      </w:tr>
      <w:tr>
        <w:trPr>
          <w:trHeight w:val="239"/>
        </w:trPr>
        <w:tc>
          <w:tcPr>
            <w:tcW w:w="3560" w:type="dxa"/>
            <w:vAlign w:val="bottom"/>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w w:val="97"/>
              </w:rPr>
              <w:t>Morgan Stanley</w:t>
            </w:r>
          </w:p>
        </w:tc>
        <w:tc>
          <w:tcPr>
            <w:tcW w:w="4000" w:type="dxa"/>
            <w:vAlign w:val="bottom"/>
          </w:tcPr>
          <w:p>
            <w:pPr>
              <w:jc w:val="center"/>
              <w:ind w:left="81"/>
              <w:spacing w:after="0"/>
              <w:rPr>
                <w:sz w:val="20"/>
                <w:szCs w:val="20"/>
                <w:color w:val="auto"/>
              </w:rPr>
            </w:pPr>
            <w:r>
              <w:rPr>
                <w:rFonts w:ascii="Times New Roman" w:cs="Times New Roman" w:eastAsia="Times New Roman" w:hAnsi="Times New Roman"/>
                <w:sz w:val="17"/>
                <w:szCs w:val="17"/>
                <w:b w:val="1"/>
                <w:bCs w:val="1"/>
                <w:color w:val="auto"/>
                <w:w w:val="98"/>
              </w:rPr>
              <w:t>Needham &amp; Company</w:t>
            </w:r>
          </w:p>
        </w:tc>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Roth Capital Partners</w:t>
            </w:r>
          </w:p>
        </w:tc>
      </w:tr>
      <w:tr>
        <w:trPr>
          <w:trHeight w:val="239"/>
        </w:trPr>
        <w:tc>
          <w:tcPr>
            <w:tcW w:w="3560" w:type="dxa"/>
            <w:vAlign w:val="bottom"/>
          </w:tcPr>
          <w:p>
            <w:pPr>
              <w:jc w:val="center"/>
              <w:ind w:left="117"/>
              <w:spacing w:after="0"/>
              <w:rPr>
                <w:sz w:val="20"/>
                <w:szCs w:val="20"/>
                <w:color w:val="auto"/>
              </w:rPr>
            </w:pPr>
            <w:r>
              <w:rPr>
                <w:rFonts w:ascii="Times New Roman" w:cs="Times New Roman" w:eastAsia="Times New Roman" w:hAnsi="Times New Roman"/>
                <w:sz w:val="17"/>
                <w:szCs w:val="17"/>
                <w:b w:val="1"/>
                <w:bCs w:val="1"/>
                <w:color w:val="auto"/>
                <w:w w:val="95"/>
              </w:rPr>
              <w:t>Stifel</w:t>
            </w:r>
          </w:p>
        </w:tc>
        <w:tc>
          <w:tcPr>
            <w:tcW w:w="4000" w:type="dxa"/>
            <w:vAlign w:val="bottom"/>
          </w:tcPr>
          <w:p>
            <w:pPr>
              <w:jc w:val="center"/>
              <w:ind w:left="81"/>
              <w:spacing w:after="0"/>
              <w:rPr>
                <w:sz w:val="20"/>
                <w:szCs w:val="20"/>
                <w:color w:val="auto"/>
              </w:rPr>
            </w:pPr>
            <w:r>
              <w:rPr>
                <w:rFonts w:ascii="Times New Roman" w:cs="Times New Roman" w:eastAsia="Times New Roman" w:hAnsi="Times New Roman"/>
                <w:sz w:val="17"/>
                <w:szCs w:val="17"/>
                <w:b w:val="1"/>
                <w:bCs w:val="1"/>
                <w:color w:val="auto"/>
                <w:w w:val="97"/>
              </w:rPr>
              <w:t>TD Securities</w:t>
            </w:r>
          </w:p>
        </w:tc>
        <w:tc>
          <w:tcPr>
            <w:tcW w:w="3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Wells Fargo Securities</w:t>
            </w:r>
          </w:p>
        </w:tc>
      </w:tr>
      <w:tr>
        <w:trPr>
          <w:trHeight w:val="376"/>
        </w:trPr>
        <w:tc>
          <w:tcPr>
            <w:tcW w:w="3560" w:type="dxa"/>
            <w:vAlign w:val="bottom"/>
          </w:tcPr>
          <w:p>
            <w:pPr>
              <w:spacing w:after="0"/>
              <w:rPr>
                <w:sz w:val="24"/>
                <w:szCs w:val="24"/>
                <w:color w:val="auto"/>
              </w:rPr>
            </w:pPr>
          </w:p>
        </w:tc>
        <w:tc>
          <w:tcPr>
            <w:tcW w:w="400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May 20, 2026</w:t>
            </w:r>
          </w:p>
        </w:tc>
        <w:tc>
          <w:tcPr>
            <w:tcW w:w="3720" w:type="dxa"/>
            <w:vAlign w:val="bottom"/>
          </w:tcPr>
          <w:p>
            <w:pPr>
              <w:spacing w:after="0"/>
              <w:rPr>
                <w:sz w:val="24"/>
                <w:szCs w:val="24"/>
                <w:color w:val="auto"/>
              </w:rPr>
            </w:pPr>
          </w:p>
        </w:tc>
      </w:tr>
      <w:tr>
        <w:trPr>
          <w:trHeight w:val="519"/>
        </w:trPr>
        <w:tc>
          <w:tcPr>
            <w:tcW w:w="35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440" w:right="319" w:bottom="1440" w:gutter="0" w:footer="0" w:header="0"/>
        </w:sectPr>
      </w:pPr>
    </w:p>
    <w:bookmarkStart w:id="68" w:name="page69"/>
    <w:bookmarkEnd w:id="68"/>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Rocket Lab Corp</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5040" w:type="dxa"/>
            <w:vAlign w:val="bottom"/>
            <w:tcBorders>
              <w:bottom w:val="single" w:sz="8" w:color="auto"/>
            </w:tcBorders>
            <w:gridSpan w:val="15"/>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17"/>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ind w:left="20"/>
              <w:spacing w:after="0" w:line="16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13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14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7"/>
              <w:spacing w:after="0" w:line="187" w:lineRule="exact"/>
              <w:rPr>
                <w:sz w:val="20"/>
                <w:szCs w:val="20"/>
                <w:color w:val="auto"/>
              </w:rPr>
            </w:pPr>
            <w:r>
              <w:rPr>
                <w:rFonts w:ascii="Arial" w:cs="Arial" w:eastAsia="Arial" w:hAnsi="Arial"/>
                <w:sz w:val="17"/>
                <w:szCs w:val="17"/>
                <w:b w:val="1"/>
                <w:bCs w:val="1"/>
                <w:color w:val="auto"/>
                <w:w w:val="96"/>
              </w:rPr>
              <w:t>or Carry</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ind w:right="5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7"/>
              <w:spacing w:after="0" w:line="187" w:lineRule="exact"/>
              <w:rPr>
                <w:sz w:val="20"/>
                <w:szCs w:val="20"/>
                <w:color w:val="auto"/>
              </w:rPr>
            </w:pPr>
            <w:r>
              <w:rPr>
                <w:rFonts w:ascii="Arial" w:cs="Arial" w:eastAsia="Arial" w:hAnsi="Arial"/>
                <w:sz w:val="17"/>
                <w:szCs w:val="17"/>
                <w:b w:val="1"/>
                <w:bCs w:val="1"/>
                <w:color w:val="auto"/>
                <w:w w:val="98"/>
              </w:rPr>
              <w:t>Forward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vMerge w:val="restart"/>
            <w:shd w:val="clear" w:color="auto" w:fill="9ADAF6"/>
          </w:tcPr>
          <w:p>
            <w:pPr>
              <w:jc w:val="center"/>
              <w:ind w:left="17"/>
              <w:spacing w:after="0"/>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Securities</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52"/>
        </w:trPr>
        <w:tc>
          <w:tcPr>
            <w:tcW w:w="40" w:type="dxa"/>
            <w:vAlign w:val="bottom"/>
            <w:tcBorders>
              <w:left w:val="single" w:sz="8" w:color="auto"/>
            </w:tcBorders>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3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17"/>
              <w:spacing w:after="0"/>
              <w:rPr>
                <w:sz w:val="20"/>
                <w:szCs w:val="20"/>
                <w:color w:val="auto"/>
              </w:rPr>
            </w:pPr>
            <w:r>
              <w:rPr>
                <w:rFonts w:ascii="Arial" w:cs="Arial" w:eastAsia="Arial" w:hAnsi="Arial"/>
                <w:sz w:val="17"/>
                <w:szCs w:val="17"/>
                <w:color w:val="auto"/>
                <w:w w:val="97"/>
              </w:rPr>
              <w:t>457(o)</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$ 414,300.00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3,000,000,000.00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ind w:left="20"/>
              <w:spacing w:after="0" w:line="114" w:lineRule="exact"/>
              <w:rPr>
                <w:sz w:val="20"/>
                <w:szCs w:val="20"/>
                <w:color w:val="auto"/>
              </w:rPr>
            </w:pPr>
            <w:r>
              <w:rPr>
                <w:rFonts w:ascii="Arial" w:cs="Arial" w:eastAsia="Arial" w:hAnsi="Arial"/>
                <w:sz w:val="12"/>
                <w:szCs w:val="12"/>
                <w:color w:val="auto"/>
              </w:rPr>
              <w:t>$0.0001</w:t>
            </w: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$ 414,300.00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9"/>
              </w:rPr>
              <w:t>3,000,000,000.00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6"/>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$ 414,300.00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220" w:right="200"/>
        <w:spacing w:after="0" w:line="236" w:lineRule="auto"/>
        <w:rPr>
          <w:sz w:val="20"/>
          <w:szCs w:val="20"/>
          <w:color w:val="auto"/>
        </w:rPr>
      </w:pPr>
      <w:r>
        <w:rPr>
          <w:rFonts w:ascii="Arial" w:cs="Arial" w:eastAsia="Arial" w:hAnsi="Arial"/>
          <w:sz w:val="17"/>
          <w:szCs w:val="17"/>
          <w:color w:val="auto"/>
        </w:rPr>
        <w:t>The registration fee is calculated in accordance with Rule 457(o) under the Securities Act of 1933, as amended (the "Securities Act"), based on the proposed maximum aggregate offering price. In accordance with Rules 456(b) and 457(r) under the Securities Act, Rocket Lab USA, Inc. (the "Predecessor Registrant") initially deferred payment of all of the registration fees for the Registration Statement on Form S-3 (Registration No. 333-285707) filed with the Securities and Exchange Commission on March 11, 2025 (as amended, the "Registration Statement"). Rocket Lab Corporation became the successor to the Predecessor Registrant on May 23, 2025. This "Calculation of Filing Fee Tables" shall be deemed to update the "Calculation of Registration Fee Tables"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494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56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97"/>
              <w:spacing w:after="0" w:line="18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ind w:right="20"/>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9ADAF6"/>
            </w:tcBorders>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8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80" w:type="dxa"/>
            <w:vAlign w:val="bottom"/>
            <w:tcBorders>
              <w:right w:val="single" w:sz="8" w:color="9ADAF6"/>
            </w:tcBorders>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0"/>
          </w:tcPr>
          <w:p>
            <w:pPr>
              <w:ind w:left="56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right w:val="single" w:sz="8" w:color="9ADAF6"/>
            </w:tcBorders>
            <w:gridSpan w:val="4"/>
            <w:shd w:val="clear" w:color="auto" w:fill="9ADAF6"/>
          </w:tcPr>
          <w:p>
            <w:pPr>
              <w:ind w:left="380"/>
              <w:spacing w:after="0" w:line="193" w:lineRule="exact"/>
              <w:rPr>
                <w:sz w:val="20"/>
                <w:szCs w:val="20"/>
                <w:color w:val="auto"/>
              </w:rPr>
            </w:pPr>
            <w:r>
              <w:rPr>
                <w:rFonts w:ascii="Arial" w:cs="Arial" w:eastAsia="Arial" w:hAnsi="Arial"/>
                <w:sz w:val="17"/>
                <w:szCs w:val="17"/>
                <w:b w:val="1"/>
                <w:bCs w:val="1"/>
                <w:color w:val="auto"/>
                <w:w w:val="98"/>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400"/>
              <w:spacing w:after="0" w:line="187"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restart"/>
            <w:shd w:val="clear" w:color="auto" w:fill="9ADAF6"/>
          </w:tcPr>
          <w:p>
            <w:pPr>
              <w:jc w:val="center"/>
              <w:ind w:right="220"/>
              <w:spacing w:after="0" w:line="187"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w w:val="89"/>
              </w:rPr>
              <w:t>Security Type</w:t>
            </w: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gridSpan w:val="5"/>
            <w:vMerge w:val="restart"/>
            <w:shd w:val="clear" w:color="auto" w:fill="9ADAF6"/>
          </w:tcPr>
          <w:p>
            <w:pPr>
              <w:ind w:left="6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continue"/>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gridSpan w:val="5"/>
            <w:vMerge w:val="continue"/>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w w:val="97"/>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8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20" w:type="dxa"/>
            <w:vAlign w:val="bottom"/>
            <w:gridSpan w:val="3"/>
            <w:vMerge w:val="restart"/>
            <w:shd w:val="clear" w:color="auto" w:fill="9ADAF6"/>
          </w:tcPr>
          <w:p>
            <w:pPr>
              <w:jc w:val="center"/>
              <w:ind w:right="22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right w:val="single" w:sz="8" w:color="9ADAF6"/>
            </w:tcBorders>
            <w:gridSpan w:val="4"/>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8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lowerRoman"/>
      <w:start w:val="4"/>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lowerRoman"/>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lowerRoman"/>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lowerLetter"/>
      <w:start w:val="61"/>
    </w:lvl>
    <w:lvl w:ilvl="1">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4" Type="http://schemas.openxmlformats.org/officeDocument/2006/relationships/image" Target="media/image8.jpe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jpe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15" Type="http://schemas.openxmlformats.org/officeDocument/2006/relationships/hyperlink" Target="https://www.sec.gov/ix?doc=/Archives/edgar/data/0001819994/000181999426000013/rklb-20251231.htm" TargetMode="External"/><Relationship Id="rId16" Type="http://schemas.openxmlformats.org/officeDocument/2006/relationships/hyperlink" Target="https://www.sec.gov/ix?doc=/Archives/edgar/data/0001819994/000181999426000028/rklb-20260331.htm" TargetMode="External"/><Relationship Id="rId17" Type="http://schemas.openxmlformats.org/officeDocument/2006/relationships/hyperlink" Target="https://www.sec.gov/ix?doc=/Archives/edgar/data/0001819994/000181999426000004/rklb-20260121.htm" TargetMode="External"/><Relationship Id="rId18" Type="http://schemas.openxmlformats.org/officeDocument/2006/relationships/hyperlink" Target="https://www.sec.gov/ix?doc=/Archives/edgar/data/0001819994/000181999426000016/rklb-20260312.htm" TargetMode="External"/><Relationship Id="rId19" Type="http://schemas.openxmlformats.org/officeDocument/2006/relationships/hyperlink" Target="https://www.sec.gov/ix?doc=/Archives/edgar/data/0001819994/000162828026018789/rklb-20260317.htm" TargetMode="External"/><Relationship Id="rId20" Type="http://schemas.openxmlformats.org/officeDocument/2006/relationships/hyperlink" Target="https://www.sec.gov/ix?doc=/Archives/edgar/data/0001819994/000175392626000568/g085462_8k-rocket.htm" TargetMode="External"/><Relationship Id="rId21" Type="http://schemas.openxmlformats.org/officeDocument/2006/relationships/hyperlink" Target="https://www.sec.gov/ix?doc=/Archives/edgar/data/0001819994/000175392626000654/g085683_8k.htm" TargetMode="External"/><Relationship Id="rId22" Type="http://schemas.openxmlformats.org/officeDocument/2006/relationships/hyperlink" Target="https://www.sec.gov/ix?doc=/Archives/edgar/data/0001819994/000175392626000799/g085715_8k.htm" TargetMode="External"/><Relationship Id="rId23" Type="http://schemas.openxmlformats.org/officeDocument/2006/relationships/hyperlink" Target="https://www.sec.gov/ix?doc=/Archives/edgar/data/0001819994/000162828025027473/rklb-20250523.htm" TargetMode="External"/><Relationship Id="rId28" Type="http://schemas.openxmlformats.org/officeDocument/2006/relationships/hyperlink" Target="https://www.sec.gov/ix?doc=/Archives/edgar/data/0001819994/000162828025008724/rklb-20241231.htm" TargetMode="External"/><Relationship Id="rId29" Type="http://schemas.openxmlformats.org/officeDocument/2006/relationships/hyperlink" Target="https://www.sec.gov/ix?doc=/Archives/edgar/data/0001819994/000162828025001137/rklb-20250107.htm" TargetMode="External"/><Relationship Id="rId30" Type="http://schemas.openxmlformats.org/officeDocument/2006/relationships/hyperlink" Target="https://www.sec.gov/Archives/edgar/data/1819994/000110465920108236/tm2026739d9_8a12b.htm" TargetMode="External"/><Relationship Id="rId31" Type="http://schemas.openxmlformats.org/officeDocument/2006/relationships/hyperlink" Target="https://www.sec.gov/Archives/edgar/data/1819994/000162828025008724/rklb-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2026-05-20T16:45:02Z</dcterms:created>
  <dcterms:modified xsi:type="dcterms:W3CDTF">2026-05-20T16:45:02Z</dcterms:modified>
</cp:coreProperties>
</file>