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333-285707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11,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$750,000,000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BofA Securities, Inc., Cantor Fitzgerald &amp; Co., BTIG, LLC, KeyBanc Capital Markets Inc., Citizens JMP Securities, LLC, Needham &amp; Company, LLC and Roth Capital Partners, LLC, as our sales agents (the “sales agents”), relating to the sale of shares of our common stock, par value $0.0001 per share (“common stock”), offered by this prospectus supplement and the accompanying prospectus. In accordance with the terms of the sales agreement, we may offer and sell shares of our common stock from time to time through or to the sales agents, acting as our agents or principal, having an aggregate offering price of up to $750,000,000. As of the date of this prospectus supplement, we have sold shares of our common stock with an aggregate gross sales price of approximately $396.6 million under the sales agreement, dated as of March 11, 2025, relating to the offering of shares of our common stock having an aggregate offering price of up to $500,000,000 (the “prior sales agreement”). In connection with entering into the sales agreement, we are terminating the prior sales agreement.</w:t>
      </w:r>
    </w:p>
    <w:p>
      <w:pPr>
        <w:spacing w:after="0" w:line="192"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of shares of our common stock under this prospectus supplement and the accompanying prospectus, if any, may be made by any method deemed to be an “at the market offering” as defined in Rule 415(a)(4) promulgated under the Securities Act of 1933, as amended (the “Securities Act”). The sales agents are not required to sell any specific number or dollar amount of shares of our common stock. The sales agents have agreed to use their commercially reasonable efforts to sell on our behalf all of the shares of common stock requested to be sold by us, consistent with their normal trading and sales practices, on mutually agreed terms between the sales agents and us. There is no arrangement for funds to be received in any escrow, trust or similar arrangement.</w:t>
      </w:r>
    </w:p>
    <w:p>
      <w:pPr>
        <w:spacing w:after="0" w:line="1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sales agents will be entitled to compensation under the terms of the sales agreement at a commission rate equal to up to 3.0% of the gross sales price per share sold. In connection with the sale of common stock on our behalf, the sales agents will be deemed to be an “underwriter” within the meaning of the Securities Act, and the compensation of the sales agents will be deemed to be underwriting commissions or discounts. We have agreed to provide indemnification and contribution to the sales agents with respect to certain liabilities, including liabilities under the Securities Act. See “Plan of Distribution” for additional information regarding compensation to be paid to the sales agents.</w:t>
      </w:r>
    </w:p>
    <w:p>
      <w:pPr>
        <w:spacing w:after="0" w:line="18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“RKLB”. On September 12, 2025, the last reported sale price of our common stock was $53.34 per share.</w:t>
      </w:r>
    </w:p>
    <w:p>
      <w:pPr>
        <w:spacing w:after="0" w:line="158"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S-5 of this prospectus supplement, the accompanying prospectus, and under similar headings in the other documents that are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5060" w:type="dxa"/>
            <w:vAlign w:val="bottom"/>
          </w:tcPr>
          <w:p>
            <w:pPr>
              <w:spacing w:after="0"/>
              <w:rPr>
                <w:sz w:val="20"/>
                <w:szCs w:val="20"/>
                <w:color w:val="auto"/>
              </w:rPr>
            </w:pP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Cantor</w:t>
            </w:r>
          </w:p>
        </w:tc>
      </w:tr>
      <w:tr>
        <w:trPr>
          <w:trHeight w:val="324"/>
        </w:trPr>
        <w:tc>
          <w:tcPr>
            <w:tcW w:w="3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BTIG</w:t>
            </w:r>
          </w:p>
        </w:tc>
        <w:tc>
          <w:tcPr>
            <w:tcW w:w="50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KeyBanc Capital Markets</w:t>
            </w:r>
          </w:p>
        </w:tc>
      </w:tr>
      <w:tr>
        <w:trPr>
          <w:trHeight w:val="324"/>
        </w:trPr>
        <w:tc>
          <w:tcPr>
            <w:tcW w:w="3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Needham &amp; Company</w:t>
            </w:r>
          </w:p>
        </w:tc>
        <w:tc>
          <w:tcPr>
            <w:tcW w:w="5060" w:type="dxa"/>
            <w:vAlign w:val="bottom"/>
          </w:tcPr>
          <w:p>
            <w:pPr>
              <w:spacing w:after="0"/>
              <w:rPr>
                <w:sz w:val="24"/>
                <w:szCs w:val="24"/>
                <w:color w:val="auto"/>
              </w:rPr>
            </w:pP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Roth Capital Partners</w:t>
            </w:r>
          </w:p>
        </w:tc>
      </w:tr>
      <w:tr>
        <w:trPr>
          <w:trHeight w:val="270"/>
        </w:trPr>
        <w:tc>
          <w:tcPr>
            <w:tcW w:w="308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tcPr>
          <w:p>
            <w:pPr>
              <w:spacing w:after="0"/>
              <w:rPr>
                <w:sz w:val="23"/>
                <w:szCs w:val="23"/>
                <w:color w:val="auto"/>
              </w:rPr>
            </w:pPr>
          </w:p>
        </w:tc>
      </w:tr>
      <w:tr>
        <w:trPr>
          <w:trHeight w:val="507"/>
        </w:trPr>
        <w:tc>
          <w:tcPr>
            <w:tcW w:w="3080" w:type="dxa"/>
            <w:vAlign w:val="bottom"/>
          </w:tcPr>
          <w:p>
            <w:pPr>
              <w:spacing w:after="0"/>
              <w:rPr>
                <w:sz w:val="24"/>
                <w:szCs w:val="24"/>
                <w:color w:val="auto"/>
              </w:rPr>
            </w:pPr>
          </w:p>
        </w:tc>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date of this prospectus supplement is September 15, 2025.</w:t>
            </w:r>
          </w:p>
        </w:tc>
        <w:tc>
          <w:tcPr>
            <w:tcW w:w="3100" w:type="dxa"/>
            <w:vAlign w:val="bottom"/>
          </w:tcPr>
          <w:p>
            <w:pPr>
              <w:spacing w:after="0"/>
              <w:rPr>
                <w:sz w:val="24"/>
                <w:szCs w:val="24"/>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20" w:type="dxa"/>
            <w:vAlign w:val="bottom"/>
            <w:tcBorders>
              <w:top w:val="single" w:sz="8" w:color="auto"/>
            </w:tcBorders>
            <w:gridSpan w:val="2"/>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56"/>
        </w:trPr>
        <w:tc>
          <w:tcPr>
            <w:tcW w:w="10860" w:type="dxa"/>
            <w:vAlign w:val="bottom"/>
            <w:gridSpan w:val="20"/>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5060" w:type="dxa"/>
            <w:vAlign w:val="bottom"/>
            <w:gridSpan w:val="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20" w:type="dxa"/>
            <w:vAlign w:val="bottom"/>
            <w:tcBorders>
              <w:top w:val="single" w:sz="8" w:color="0000EE"/>
            </w:tcBorders>
          </w:tcPr>
          <w:p>
            <w:pPr>
              <w:spacing w:after="0"/>
              <w:rPr>
                <w:sz w:val="17"/>
                <w:szCs w:val="17"/>
                <w:color w:val="auto"/>
              </w:rPr>
            </w:pPr>
          </w:p>
        </w:tc>
        <w:tc>
          <w:tcPr>
            <w:tcW w:w="958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928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17"/>
                <w:szCs w:val="17"/>
                <w:color w:val="auto"/>
              </w:rPr>
            </w:pPr>
          </w:p>
        </w:tc>
        <w:tc>
          <w:tcPr>
            <w:tcW w:w="940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04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453"/>
        </w:trPr>
        <w:tc>
          <w:tcPr>
            <w:tcW w:w="28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04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620" w:type="dxa"/>
            <w:vAlign w:val="bottom"/>
            <w:gridSpan w:val="10"/>
            <w:vMerge w:val="restart"/>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0"/>
            <w:vMerge w:val="continue"/>
          </w:tcPr>
          <w:p>
            <w:pPr>
              <w:spacing w:after="0"/>
              <w:rPr>
                <w:sz w:val="14"/>
                <w:szCs w:val="14"/>
                <w:color w:val="auto"/>
              </w:rPr>
            </w:pPr>
          </w:p>
        </w:tc>
        <w:tc>
          <w:tcPr>
            <w:tcW w:w="8620" w:type="dxa"/>
            <w:vAlign w:val="bottom"/>
            <w:gridSpan w:val="10"/>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60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506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98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82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83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64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17"/>
                <w:szCs w:val="17"/>
                <w:color w:val="auto"/>
              </w:rPr>
            </w:pPr>
          </w:p>
        </w:tc>
        <w:tc>
          <w:tcPr>
            <w:tcW w:w="940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0"/>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Neither we nor the sales agents (or any of their affiliates) have authorized anyone to provide you with information different from that contained or incorporated by reference in this prospectus supplement, the accompanying prospectus or any free writing prospectus prepared by us or on our behalf. Neither we nor the sales agents (or any of their affiliates) take any responsibility for, or can provide any assurance as to the reliability of, any information other than the information contained or incorporated by reference in this prospectus supplement, the accompanying prospectus or any free writing prospectus prepared by us or on our behalf. We and the sales agents are offering to sell, and seeking offers to buy, shares of our common stock only in jurisdictions where offers and sales are permitted.</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or incorporated by reference in this prospectus supplement,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11, 2025, Rocket Lab USA, Inc., a Delaware corporation, our predecessor, filed with the SEC an automatic registration statement on Form S-3ASR (File No. 333-285707) (the “Automatic Shelf Registration Statement”) utilizing a shelf registration process relating to certain securities that may be offered by us, including the securities described in this prospectus supplement, which became effective automatically upon filing. On May 27, 2025, we filed Amendment No. 1 to the Automatic Shelf Registration Statement pursuant to Rule 414 under the Securities Act, to adopt the Automatic Shelf Registration Statement of Rocket Lab USA, Inc. following the Holding Company Reorganization (as defined below), which amendment became effective automatically upon filing. Unless the context otherwise indicates, references in this prospectus supplement to “Rocket Lab”, “we,” “our” and “us” refer, collectively, to Rocket Lab Corporation, a Delaware corporation, and its consolidated subsidiaries, and prior to the Holding Company Reorganization (defined below), to our predecessor Rocket Lab USA, Inc. and its consolidated subsidiaries.</w:t>
      </w:r>
    </w:p>
    <w:p>
      <w:pPr>
        <w:spacing w:after="0" w:line="19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This document is in two parts. The first part is this prospectus supplement, which describes the specific terms of this offering of our common stock and certain other matters relating to us and our business. The second part, the accompanying prospectus, contains and incorporates by reference important business and financial information about us, a description of our common stock and certain other information about us and this offering. This prospectus supplement and the accompanying prospectus are part of a registration statement that we filed with the SEC using a “shelf” registration process.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prospectus supplement may add, update or change information contained in the accompanying prospectus or in documents that we file or have filed with the SEC. You should read both this prospectus supplement and the accompanying prospectus, together with additional information described below under the headings “Where You Can Find More Information” and “Incorporation of Certain Documents by Reference.” To the extent the information contained in this prospectus supplement differs or varies from the information contained in the accompanying prospectus or documents incorporated by reference filed before the date of this prospectus supplement, the information in this prospectus supplement will supersede such information. Any statement modified or superseded by a statement made in a subsequently filed document that is incorporated or deemed to be incorporated by reference in this prospectus supplement will not be deemed, except as so modified or superseded, to constitute a part of this prospectus supplement. For further information, we refer you to our Registration Statement,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you with any information other than that contained or incorporated by reference in this prospectus supplement and the accompanying prospectus, along with the information contained in any free writing prospectuses we have authorized for use in connection with this offering. Neither we nor the sales agents take any responsibility for, and can provide no assurance as to the reliability of, any other information that others may give you. This prospectus supplement and the accompanying prospectus is an offer to sell only the securities offered hereby, but only under circumstances and in jurisdictions where it is lawful to do so.</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supplement and the accompanying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prospectus, or any sale of securities. Our business, financial condition, results of operations and prospects may have changed since those dates.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contains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and achieve operational efficiencies;</w:t>
      </w:r>
    </w:p>
    <w:p>
      <w:pPr>
        <w:spacing w:after="0" w:line="27"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ind w:left="660" w:right="4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our Neutron Launch Vehicle (“Neutron”) or significant delays in developing Neutron could adversely impact our business, financial condition and results of operations;</w:t>
      </w:r>
    </w:p>
    <w:p>
      <w:pPr>
        <w:ind w:left="660" w:right="3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ind w:left="660" w:right="3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spacecraft, space systems or space system components failing to operate as intended could have a material adverse effect on our business, financial condition and results of operations;</w:t>
      </w:r>
    </w:p>
    <w:p>
      <w:pPr>
        <w:ind w:left="660" w:right="1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highly regulated industries in which we operate, variations in operating performance across competitors, changes in laws and regulations affecting our business and changes in our capital structure;</w:t>
      </w:r>
    </w:p>
    <w:p>
      <w:pPr>
        <w:ind w:left="660" w:right="4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priorities, regulations, mandates or funding for programs in which we or our customers participate, which could negatively impact our business;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including tariffs;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ind w:left="660" w:right="4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comply with, and costs associated with complying, any applicable regulations, and specifically, U.S. government contract regulations, which could result in loss of contract opportunities, contract modifications or termination, assessment of penalties and fines, and suspension or debarment from U.S. government contracting or subcontracting;</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officers, key employees or directors, and our ability to attract and retain key personnel, including Sir Peter Beck, our President, Chief Executive Officer and Chairman;</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protect intellectual property;</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key raw materials or components used to produce our products or increases in prices of raw materials;</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our business plans, forecasts and other expectations, including the integration of recently acquired businesses, and to identify and realize additional opportunities;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and consumption of resources as a result of acquisitions of other companies and success in integrating and otherwise achieving the benefits of recent and potential acquisitions;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integrate or benefit from recently purchased assets or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inflation and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wars in Ukraine, Israel, Iran or other global conflicts;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government and commercial launch services and spacecraft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the markets for rocket launch services, mission services, spacecraft and spacecraft components;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failure to comply with contractual requirements or covenants;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operational and financial resources or raise additional capital or generate sufficient cash flows;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unauthorized access to our computer systems or those of third parties that we utilize in our operations, including those relating to cybersecurity or arising from cyber-attacks; and</w:t>
      </w:r>
    </w:p>
    <w:p>
      <w:pPr>
        <w:ind w:left="660" w:right="10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prospectus supplement, the accompanying prospectus and the documents incorporated by reference herein and therein titled “Risk Factors.”</w:t>
      </w:r>
    </w:p>
    <w:p>
      <w:pPr>
        <w:spacing w:after="0" w:line="1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are based on information available to us at the time of such filing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7162165" cy="7299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7299325"/>
                    </a:xfrm>
                    <a:prstGeom prst="rect">
                      <a:avLst/>
                    </a:prstGeom>
                    <a:noFill/>
                  </pic:spPr>
                </pic:pic>
              </a:graphicData>
            </a:graphic>
          </wp:anchor>
        </w:drawing>
        <w:t>SUMMARY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or incorporated by reference in this prospectus supplement, the accompanying prospectus or any free writing prospectus prepared by us or on our behalf. It does not contain all of the information that you should consider before investing in shares of our common stock. You should carefully read this entire prospectus supplement, the accompanying prospectus and documents incorporated herein and therein, including the factors described or referred to under the heading “Risk Factors” in our Annual Report on Form 10-K and our Quarterly Reports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our business has historically been centered on the development of small-class launch vehicles and the related sale of launch services, we are currently innovating in the areas of medium-class launch vehicles and launch services, space systems design and manufacturing, on-orbit management solutions, and space data applications. Each of these initiatives addresses a critical component of the end-to-end solution and our value proposition for the space economy:</w:t>
      </w:r>
    </w:p>
    <w:p>
      <w:pPr>
        <w:spacing w:after="0" w:line="180" w:lineRule="exact"/>
        <w:rPr>
          <w:sz w:val="20"/>
          <w:szCs w:val="20"/>
          <w:color w:val="auto"/>
        </w:rPr>
      </w:pPr>
    </w:p>
    <w:p>
      <w:pPr>
        <w:ind w:left="640" w:right="440" w:hanging="31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Services is the design, manufacture, and launch of orbital rockets to deploy payloads to various Earth orbits and interplanetary destinations.</w:t>
      </w:r>
    </w:p>
    <w:p>
      <w:pPr>
        <w:spacing w:after="0" w:line="161" w:lineRule="exact"/>
        <w:rPr>
          <w:rFonts w:ascii="Times New Roman" w:cs="Times New Roman" w:eastAsia="Times New Roman" w:hAnsi="Times New Roman"/>
          <w:sz w:val="18"/>
          <w:szCs w:val="18"/>
          <w:color w:val="auto"/>
        </w:rPr>
      </w:pPr>
    </w:p>
    <w:p>
      <w:pPr>
        <w:ind w:left="640" w:right="800" w:hanging="31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Systems is the design and manufacture of spacecraft components and spacecraft program management services, space data applications and mission operations.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64 successful missions through June 30, 2025. In 2024, Electron was the second most frequently orbital launched rocket by companies operating in the United States and the second most frequent orbital launcher globally.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2021, we announced plans to develop our reusable-ready medium-capacity Neutron launch vehicle that will increase the payload capacity of our space launch vehicles to approximately 15,000 kg for expendable launches to low Earth orbit and lighter payloads for reusable configurations and into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and aerospace software firm Advanced Solutions, Incorporated.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and mission operations to provide customers with streamlined access to orbit with Rocket Lab as a single mission partner.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819"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7162165" cy="3596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3596005"/>
                    </a:xfrm>
                    <a:prstGeom prst="rect">
                      <a:avLst/>
                    </a:prstGeom>
                    <a:noFill/>
                  </pic:spPr>
                </pic:pic>
              </a:graphicData>
            </a:graphic>
          </wp:anchor>
        </w:drawing>
        <w:t>Corporate Information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highlight w:val="white"/>
        </w:rPr>
        <w:t>Our predecessor entity, Rocket Lab USA, Inc., completed a merger with Vector Acquisition Corporation (“Vector”) on August 25, 2021 (the “Business Combination”), in conjunction with which Vector changed its name to Rocket Lab USA, Inc. (“Rocket Lab USA”). On May 23, 2025, Rocket Lab USA implemented a holding company reorganization in accordance with Section 251(g) of the General Corporation Law of the State of Delaware (the “Holding Company Reorganization”) pursuant to the Agreement and Plan of Merger, dated as of May 23, 2025 (the “Merger Agreement”), by and among Rocket Lab USA, Rocket Lab Corporation and Rocket Lab Merger Sub, Inc., a newly-formed Delaware corporation (“Merger Sub”). Pursuant to the Holding Company Reorganization, Rocket Lab USA merged with and into Merger Sub, a direct wholly owned subsidiary of Rocket Lab Corporation and an indirect wholly owned subsidiary of Rocket Lab USA, with Rocket Lab USA surviving as a direct wholly owned subsidiary of Rocket Lab Corporation. At the Effective Time (as defined in the Merger Agreement), (i) the separate existence of Merger Sub ceased, (ii) each share of Rocket Lab USA common stock, par value $0.0001 per share (“Rocket Lab USA Common Stock”), issued and outstanding immediately prior to the Effective Time, was automatically converted into one share of Rocket Lab Corporation common stock, par value $0.0001 per share, having the same designation, rights, powers, and preferences, and qualifications, limitations, and restrictions as a share of Rocket Lab USA Common Stock immediately prior to consummation of the Holding Company Reorganization and (iii) each share of Rocket Lab USA Series A Convertible Participating Preferred Stock, par value $0.0001 per share (“Rocket Lab USA Preferred Stock”), issued and outstanding immediately prior to the Effective Time was automatically converted into one share of Rocket Lab Corporation Series A Convertible Participating Preferred Stock, par value $0.0001 per share, having the same designation, rights, powers, and preferences, and qualifications, limitations, and restrictions as a share of Rocket Lab USA Preferred Stock immediately prior to consummation of the Holding Company Reorganization.</w:t>
      </w:r>
    </w:p>
    <w:p>
      <w:pPr>
        <w:spacing w:after="0" w:line="1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highlight w:val="white"/>
        </w:rPr>
        <w:t>Our corporate headquarters are located at 3881 McGowen Street, Long Beach, California 90808, and our telephone number is (714) 465-5737. Our website is located at www.rocketlabcorp.com. Information contained on or accessible through our website is not a part of or incorporated by reference into this prospectus supplement, and the inclusion of our website address in this prospectus supplement is an inactive textual reference only.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580" w:top="819" w:right="599" w:bottom="1440" w:gutter="0" w:footer="0" w:header="0"/>
        </w:sectPr>
      </w:pPr>
    </w:p>
    <w:bookmarkStart w:id="10" w:name="page11"/>
    <w:bookmarkEnd w:id="1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7162165" cy="5893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5893435"/>
                    </a:xfrm>
                    <a:prstGeom prst="rect">
                      <a:avLst/>
                    </a:prstGeom>
                    <a:noFill/>
                  </pic:spPr>
                </pic:pic>
              </a:graphicData>
            </a:graphic>
          </wp:anchor>
        </w:drawing>
        <w:t>THE OFFERING</w:t>
      </w:r>
    </w:p>
    <w:p>
      <w:pPr>
        <w:spacing w:after="0" w:line="22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titled “Description of Securities.”</w:t>
      </w:r>
    </w:p>
    <w:p>
      <w:pPr>
        <w:sectPr>
          <w:pgSz w:w="11900" w:h="16838" w:orient="portrait"/>
          <w:cols w:equalWidth="0" w:num="1">
            <w:col w:w="10760"/>
          </w:cols>
          <w:pgMar w:left="580" w:top="819" w:right="559" w:bottom="1440" w:gutter="0" w:footer="0" w:header="0"/>
        </w:sectPr>
      </w:pP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144" w:lineRule="exact"/>
        <w:rPr>
          <w:sz w:val="20"/>
          <w:szCs w:val="20"/>
          <w:color w:val="auto"/>
        </w:rPr>
      </w:pPr>
    </w:p>
    <w:p>
      <w:pPr>
        <w:sectPr>
          <w:pgSz w:w="11900" w:h="16838" w:orient="portrait"/>
          <w:cols w:equalWidth="0" w:num="2">
            <w:col w:w="1960" w:space="720"/>
            <w:col w:w="8080"/>
          </w:cols>
          <w:pgMar w:left="580" w:top="819" w:right="5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$750,000,000.</w:t>
      </w:r>
    </w:p>
    <w:p>
      <w:pPr>
        <w:spacing w:after="0" w:line="144" w:lineRule="exact"/>
        <w:rPr>
          <w:sz w:val="20"/>
          <w:szCs w:val="20"/>
          <w:color w:val="auto"/>
        </w:rPr>
      </w:pPr>
    </w:p>
    <w:p>
      <w:pPr>
        <w:sectPr>
          <w:pgSz w:w="11900" w:h="16838" w:orient="portrait"/>
          <w:cols w:equalWidth="0" w:num="2">
            <w:col w:w="2180" w:space="500"/>
            <w:col w:w="8080"/>
          </w:cols>
          <w:pgMar w:left="580" w:top="819" w:right="559" w:bottom="1440" w:gutter="0" w:footer="0" w:header="0"/>
          <w:type w:val="continuous"/>
        </w:sectPr>
      </w:pPr>
    </w:p>
    <w:p>
      <w:pPr>
        <w:ind w:left="100"/>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the offering</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Up to 498,021,407 shares of common stock, assuming sales of 14,060,742 shares of common stock, based on the public offering price of $53.34 per share of common stock, which was the last reported sale price of our common stock on The Nasdaq Capital Market on September 12, 2025. The actual number of shares issued will vary depending on how many shares of our common stock we choose to sell and the prices at which such sales occur.</w:t>
      </w:r>
    </w:p>
    <w:p>
      <w:pPr>
        <w:spacing w:after="0" w:line="102" w:lineRule="exact"/>
        <w:rPr>
          <w:sz w:val="20"/>
          <w:szCs w:val="20"/>
          <w:color w:val="auto"/>
        </w:rPr>
      </w:pPr>
    </w:p>
    <w:p>
      <w:pPr>
        <w:sectPr>
          <w:pgSz w:w="11900" w:h="16838" w:orient="portrait"/>
          <w:cols w:equalWidth="0" w:num="2">
            <w:col w:w="2460" w:space="220"/>
            <w:col w:w="8080"/>
          </w:cols>
          <w:pgMar w:left="580" w:top="819" w:right="5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 w:lineRule="exact"/>
        <w:rPr>
          <w:sz w:val="20"/>
          <w:szCs w:val="20"/>
          <w:color w:val="auto"/>
        </w:rPr>
      </w:pPr>
      <w:r>
        <w:rPr>
          <w:sz w:val="20"/>
          <w:szCs w:val="20"/>
          <w:color w:val="auto"/>
        </w:rPr>
        <w:br w:type="column"/>
      </w:r>
    </w:p>
    <w:p>
      <w:pPr>
        <w:ind w:right="90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agents. See “Plan of Distribution”.</w:t>
      </w:r>
    </w:p>
    <w:p>
      <w:pPr>
        <w:spacing w:after="0" w:line="81" w:lineRule="exact"/>
        <w:rPr>
          <w:sz w:val="20"/>
          <w:szCs w:val="20"/>
          <w:color w:val="auto"/>
        </w:rPr>
      </w:pPr>
    </w:p>
    <w:p>
      <w:pPr>
        <w:sectPr>
          <w:pgSz w:w="11900" w:h="16838" w:orient="portrait"/>
          <w:cols w:equalWidth="0" w:num="2">
            <w:col w:w="1960" w:space="720"/>
            <w:col w:w="8080"/>
          </w:cols>
          <w:pgMar w:left="580" w:top="819" w:right="5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after deducting commissions and offering expenses payable by us, to fund future growth, including potential future acquisitions, and for general corporate and working capital purposes. We previously entered into a nonbinding term sheet with respect to the potential acquisition of Mynaric AG (“Mynaric”), and may use a portion of the net proceeds from this offering to pay the cash portion of the purchase price, if any, for the Mynaric acquisition, if completed, and to pay fees and expenses related thereto. See “Use of Proceeds”.</w:t>
      </w:r>
    </w:p>
    <w:p>
      <w:pPr>
        <w:spacing w:after="0" w:line="106" w:lineRule="exact"/>
        <w:rPr>
          <w:sz w:val="20"/>
          <w:szCs w:val="20"/>
          <w:color w:val="auto"/>
        </w:rPr>
      </w:pPr>
    </w:p>
    <w:p>
      <w:pPr>
        <w:sectPr>
          <w:pgSz w:w="11900" w:h="16838" w:orient="portrait"/>
          <w:cols w:equalWidth="0" w:num="2">
            <w:col w:w="1960" w:space="720"/>
            <w:col w:w="8080"/>
          </w:cols>
          <w:pgMar w:left="580" w:top="819" w:right="5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in and incorporated by reference under the heading “Risk Factors” in this prospectus supplement and under similar headings in the other documents that are filed after the date hereof and incorporated by reference into this prospectus supplement and the accompanying prospectus.</w:t>
      </w:r>
    </w:p>
    <w:p>
      <w:pPr>
        <w:spacing w:after="0" w:line="99" w:lineRule="exact"/>
        <w:rPr>
          <w:sz w:val="20"/>
          <w:szCs w:val="20"/>
          <w:color w:val="auto"/>
        </w:rPr>
      </w:pPr>
    </w:p>
    <w:p>
      <w:pPr>
        <w:sectPr>
          <w:pgSz w:w="11900" w:h="16838" w:orient="portrait"/>
          <w:cols w:equalWidth="0" w:num="2">
            <w:col w:w="1960" w:space="720"/>
            <w:col w:w="8080"/>
          </w:cols>
          <w:pgMar w:left="580" w:top="819" w:right="5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“RKLB.”</w:t>
      </w:r>
    </w:p>
    <w:p>
      <w:pPr>
        <w:spacing w:after="0" w:line="200" w:lineRule="exact"/>
        <w:rPr>
          <w:sz w:val="20"/>
          <w:szCs w:val="20"/>
          <w:color w:val="auto"/>
        </w:rPr>
      </w:pPr>
    </w:p>
    <w:p>
      <w:pPr>
        <w:sectPr>
          <w:pgSz w:w="11900" w:h="16838" w:orient="portrait"/>
          <w:cols w:equalWidth="0" w:num="2">
            <w:col w:w="2380" w:space="300"/>
            <w:col w:w="8080"/>
          </w:cols>
          <w:pgMar w:left="580" w:top="819" w:right="559" w:bottom="1440" w:gutter="0" w:footer="0" w:header="0"/>
          <w:type w:val="continuous"/>
        </w:sectPr>
      </w:pPr>
    </w:p>
    <w:p>
      <w:pPr>
        <w:spacing w:after="0" w:line="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483,960,665 shares outstanding as of September 1, 2025, and excludes as of that date:</w:t>
      </w:r>
    </w:p>
    <w:p>
      <w:pPr>
        <w:spacing w:after="0" w:line="162" w:lineRule="exact"/>
        <w:rPr>
          <w:sz w:val="20"/>
          <w:szCs w:val="20"/>
          <w:color w:val="auto"/>
        </w:rPr>
      </w:pPr>
    </w:p>
    <w:p>
      <w:pPr>
        <w:ind w:left="640" w:right="20" w:hanging="317"/>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6,723,357 shares of common stock issuable upon the exercise of outstanding stock options at a weighted-average exercise price of $1.08 per share;</w:t>
      </w: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15,480,262 shares of common stock reserved for issuance upon settlement of restricted stock units;</w:t>
      </w:r>
    </w:p>
    <w:p>
      <w:pPr>
        <w:spacing w:after="0" w:line="9" w:lineRule="exact"/>
        <w:rPr>
          <w:rFonts w:ascii="Times New Roman" w:cs="Times New Roman" w:eastAsia="Times New Roman" w:hAnsi="Times New Roman"/>
          <w:sz w:val="18"/>
          <w:szCs w:val="18"/>
          <w:color w:val="auto"/>
        </w:rPr>
      </w:pPr>
    </w:p>
    <w:p>
      <w:pPr>
        <w:ind w:left="640" w:hanging="317"/>
        <w:spacing w:after="0" w:line="253"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91,901,247 shares of our common stock reserved for future issuance under the Rocket Lab 2021 Stock Option and Incentive Plan (the “2021 Plan”). The number of shares reserved for issuance under the 2021 Plan automatically increases each January 1 by 5% of the outstanding number of shares of common stock on the immediately preceding December 31, or such lesser amount as determined by the plan administrator;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819" w:right="559" w:bottom="1440" w:gutter="0" w:footer="0" w:header="0"/>
          <w:type w:val="continuous"/>
        </w:sectPr>
      </w:pPr>
    </w:p>
    <w:bookmarkStart w:id="11" w:name="page12"/>
    <w:bookmarkEnd w:id="11"/>
    <w:p>
      <w:pPr>
        <w:ind w:left="320" w:hanging="317"/>
        <w:spacing w:after="0" w:line="254"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7162165" cy="1538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1538605"/>
                    </a:xfrm>
                    <a:prstGeom prst="rect">
                      <a:avLst/>
                    </a:prstGeom>
                    <a:noFill/>
                  </pic:spPr>
                </pic:pic>
              </a:graphicData>
            </a:graphic>
          </wp:anchor>
        </w:drawing>
        <w:t>19,861,563 shares of common stock reserved for future issuance under our 2021 Employee Stock Purchase Plan (the “2021 ESPP”). The number of shares reserved for issuance under the 2021 ESPP automatically increases on January 1 of each year to January 1, 2031 by the least of (i) 9,980,000 shares of common stock, (ii) 1% of the number of shares of common stock outstanding as of the close of business on the immediately preceding December 31 or (iii) the number of shares of common stock as determined by our board of directors (the “Board”);</w:t>
      </w:r>
    </w:p>
    <w:p>
      <w:pPr>
        <w:spacing w:after="0" w:line="3" w:lineRule="exact"/>
        <w:rPr>
          <w:rFonts w:ascii="Times New Roman" w:cs="Times New Roman" w:eastAsia="Times New Roman" w:hAnsi="Times New Roman"/>
          <w:sz w:val="18"/>
          <w:szCs w:val="18"/>
          <w:color w:val="auto"/>
        </w:rPr>
      </w:pPr>
    </w:p>
    <w:p>
      <w:pPr>
        <w:ind w:left="320" w:hanging="317"/>
        <w:spacing w:after="0" w:line="250"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45,951,250 shares of common stock reserved for issuance upon conversion of the Company’s Series A Convertible Participating Preferred Stock;</w:t>
      </w:r>
    </w:p>
    <w:p>
      <w:pPr>
        <w:ind w:left="320" w:hanging="317"/>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issuable upon conversion of our outstanding 4.250% convertible senior notes due 2029; and</w:t>
      </w:r>
    </w:p>
    <w:p>
      <w:pPr>
        <w:spacing w:after="0" w:line="9"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that may be issuable in connection with potential future acquisitions, if any.</w:t>
      </w:r>
    </w:p>
    <w:p>
      <w:pPr>
        <w:spacing w:after="0" w:line="3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00" w:top="823" w:right="71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Before you invest in shares of our common stock, in addition to the other information in this prospectus supplement and the accompanying prospectus, you should carefully read and consider the risk factors described under the heading “Risk Factors” contained in our most recent Annual Report on Form 10-K and any subsequent Quarterly Reports on Form 10-Q, which are incorporated by reference into this prospectus supplement and the accompanying prospectus, as the same may be updated from time to time by our future filings under the Exchange Act. Each of the risks described in these documents could materially and adversely affect our business, financial condition, liquidity, results of operations and prospects, and could result in a partial or complete loss of your investment.</w:t>
      </w:r>
    </w:p>
    <w:p>
      <w:pPr>
        <w:spacing w:after="0" w:line="18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for to fund future growth, including potential future acquisitions, and for general corporate and working capital purposes, as further described in the section of this prospectus supplement titled “Use of Proceeds.” We will have broad discretion in the application of the net proceeds and investors will be relying on the judgment of our management regarding the application of the proceeds of this offering, including with respect to potential future acquisitions. The failure by our management to apply these funds effectively could harm our business, financial condition and results of operations. Additionally, any future acquisitions for which we may use these funds, such as the potential Mynaric acquisition, may not prove to be successful or effective in achieving management’s objectives. Pending their use, we may invest the net proceeds from this offering in short-term, interest-bearing instruments. These investments may not yield a favorable return, or any return, to us or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and future issuances of our common stock could be dilutive to our earnings per share.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issuance and sale by us of any shares of our common stock in this offering, the receipt of the net proceeds therefrom and the use of those net proceeds could have a dilutive effect on our earnings per share. Additional issuances of our common stock could also be dilutive to our earnings per share. The issuance or sale by us of our common stock, including the sale by us of shares in this offering, could also adversely affect the trading price of our common stock and our ability to raise capital through future offerings of equity or equity-related securities. In addition, if we are unable to apply any net proceeds we may receive from this offering or from other issuances or sales of our common stock to make investments that generate sufficient revenues to offset the dilutive impact of the issuance by us of shares of our common stock in this offering or from any other such issuances of our common stock, there will be further dilution of our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of common stock we will issue under the sales agreement, at any one time or in total, is uncertain.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agents at any time throughout the term of the sales agreement. The per share price of the shares of common stock that are sold by the sales agents after delivering a placement notice will fluctuate based on the market price of our common stock during the sales period and limits we set with the sales agents. Because the price per share of each share of common stock sold will fluctuate based on the market price of our common stock during the sales period, it is not possible at this stage to predict the number of shares of common stock that will be ultimately issued.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in this offering and any future sales of our common stock may depress our stock price and our ability to raise funds in new stock offerings.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of our common stock in this offering and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gross sales proceeds of up to $750 million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after deducting commissions and offering expenses payable by us, for to fund future growth, including potential future acquisitions, and for general corporate and working capital purposes. We have entered into a nonbinding term sheet with respect to the potential acquisition of Mynaric, and may use a portion of the net proceeds from this offering to pay the cash portion of the purchase price, if any, for the Mynaric acquisition, if completed, and to pay fees and expenses related thereto. Pending these uses, we may invest the net proceeds from this offering in short-term, interest-bearing instruments. Accordingly, we will retain broad discretion over the use of these proceeds.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It is the present intention of our Board to retain all earnings, if any, for use in our business operations and, accordingly, our Board does not anticipate declaring any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entered into by it or its subsidiaries from time to time.</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 We calculate net tangible book value per share by dividing our net tangible assets (tangible assets less total liabilities) by the number of shares of our common stock issued and outstanding as of June 30, 2025.</w:t>
      </w:r>
    </w:p>
    <w:p>
      <w:pPr>
        <w:spacing w:after="0" w:line="180"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net tangible book value of our common stock as of June 30, 2025 was approximately $688.5 million, or, approximately $1.44 per tangible book value per share represents the amount of our total tangible assets less total liabilities divided by the total number of shares of our common stock outstanding.</w:t>
      </w:r>
    </w:p>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shares of common stock offered by this prospectus at an assumed public offering price of $53.34 per share (the last reported sale price of our common stock on The Nasdaq Capital Market on September 12, 2025), and after deducting commissions and estimated aggregate offering expenses payable by us, our as adjusted net tangible book value as of June 30, 2025 would have been approximately $1,421.6 million, or approximately $2.88 per share. This represents an immediate increase in net tangible book value of approximately $1.44 per share to our existing stockholders and an immediate dilution in as adjusted net tangible book value of approximately $49.26 per share to purchasers of our common stock in this offering, as illustrated by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investors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44</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9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June 30, 2025 after giving effect to this offering</w:t>
            </w: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196"/>
        </w:trPr>
        <w:tc>
          <w:tcPr>
            <w:tcW w:w="9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14,060,742 shares of our common stock are sold at a price of $53.34 per share, the last reported sale price of our common stock on The Nasdaq Capital Market on September 12, 2025, for aggregate gross proceeds of approximately $750 million. The shares sold in this offering, if any, will be sold from time to time at various prices. An increase of $1.00 per share of common stock in the price at which the shares of common stock are sold from the assumed offering price of $53.34 per share of common stock shown in the table above, assuming all of our shares of common stock in the aggregate amount of $750 million during the term of the sales agreement with the sales agents are sold at that price, would increase our adjusted net tangible book value per share of common stock after the offering to $2.88 per share of common stock and would increase the dilution in net tangible book value per share of common stock to new investors in this offering to $50.24 per share of common stock, after deducting commissions and estimated offering expenses payable by us. A decrease of $1.00 per share of common stock in the price at which the shares of common stock are sold from the assumed offering price of $53.34 per share of common stock shown in the table above, assuming all of our shares of common stock in the aggregate amount of $750 million during the term of the sales agreement with the sales agents are sold at that price, would decrease our adjusted net tangible book value per share of common stock after the offering to $2.88 per share of common stock and would decrease the dilution in net tangible book value per share of common stock to new investors in this offering to $48.28 per share of common stock, after deducting commissions and estimated aggregate offering expenses payable by us.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discussed above is illustrative only and will adjust based on the actual public offering price and other terms of this offering determined at pricing.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is based on 483,960,665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2025. The number of shares outstanding as of September 1, 2025, unless otherwise indicated, excludes:</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6,723,357 shares of common stock issuable upon the exercise of outstanding stock options at a weighted-average exercise price of $1.08 per share;</w:t>
      </w:r>
    </w:p>
    <w:p>
      <w:pPr>
        <w:spacing w:after="0" w:line="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15,480,262 shares of common stock reserved for issuance upon settlement of restricted stock units;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91,901,247 shares of our common stock reserved for future issuance under the 2021 Plan. The number of shares reserved for issuance under the 2021 Plan automatically increases each January 1 by 5% of the outstanding number of shares of common stock on the immediately preceding December 31, or such lesser amount as determined by the plan administrator;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19,861,563 shares of common stock reserved for future issuance under the 2021 ESPP. The number of shares reserved for issuance under the 2021 ESPP automatically increases on January 1 of each year to January 1, 2031 by the least of (i) 9,980,000 shares of common stock, (ii) 1% of the number of shares of common stock outstanding as of the close of business on the immediately preceding December 31 or (iii) the number of shares of common stock as determined by our Board;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45,951,250 shares of common stock reserved for issuance upon conversion of the Company’s Series A Convertible Participating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issuable upon conversion of our outstanding 4.250% convertible senior notes due 2029;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that may be issuable in connection with potential future acquisitions, if any.</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outstanding options or conversion of outstanding preferred stock or convertible notes.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BofA Securities, Inc., Cantor Fitzgerald &amp; Co., BTIG, LLC, KeyBanc Capital Markets Inc., Citizens JMP Securities, LLC, Needham &amp; Company, LLC and Roth Capital Partners, LLC, as sales agents, relating to the offer and sale from time to time of shares of our common stock having an aggregate offering price of up to $750 million through the sales agents, acting as our agents, or directly to the sales agents, acting as principal.</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Sales of shares of our common stock, if any, under this prospectus supplement and the accompanying prospectus will be made by any method permitted by law and deemed to be an “at the market” offering as defined in Rule 415 promulgated under the Securities Act, including by ordinary brokers’ transactions through the facilities of The Nasdaq Capital Market or otherwise at market prices prevailing at the time of sale, at prices related to prevailing market prices or at negotiated prices, in block transactions or as otherwise permitted by law.</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sales agents are not required to sell any specific number or dollar amount of shares of common stock, but will use its commercially reasonable efforts, as our agents and consistent with its normal trading and sales practices, to sell, subject to the terms of the sales agreement, shares of common stock, as agreed upon by us and the sales agents from time to time.</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no event will the aggregate sales price of shares of our common stock sold by us to or through the sales agents, acting as our agents or as principal pursuant to the sales agreement, exceed $750 million.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sales agents will be deemed to be an “underwriter” within the meaning of the Securities Act, and the compensation paid to the sales agents will be deemed to be underwriting commissions or discounts. We have agreed that we will indemnify the sales agents against certain liabilities, including liabilities under the Securities Act, or contribute to payments that the sales agents may be required to make in respect of those liabilities.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remaining sales proceeds from the sale of any shares of our common stock, after deducting any transaction fees, transfer taxes or similar fees, taxes or charges imposed by any governmental or self-regulatory organization in connection with such sales, shall constitute the net proceeds from the sale of our common stock offered by this prospectus supplement and the accompanying prospectus.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its acceptance of instructions from us, the sales agents have agreed to use their commercially reasonable efforts to sell shares of our common stock on the terms and subject to the conditions set forth in the sales agreement. We will instruct the sales agents as to the amount of common stock to be sold by them as our agents. We may instruct the sales agents not to sell our common stock if sales cannot be effected at or above a price designated by us. We or the sales agents may at any time immediately suspend the offering of shares of our common stock through the sales agents upon notice to the other party.</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sales agents will provide written confirmation following the close of trading on The Nasdaq Capital Market on each trading day on which shares of our common stock are sold through the sales agents under the sales agreement. Each confirmation will include the number of shares of our common stock sold on that day, the aggregate gross proceeds of such sales, the net proceeds of such sales and the compensation payable by us to the sales agents in connection with such sales of our common stock.</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ind w:right="20"/>
        <w:spacing w:after="0" w:line="258" w:lineRule="auto"/>
        <w:rPr>
          <w:sz w:val="20"/>
          <w:szCs w:val="20"/>
          <w:color w:val="auto"/>
        </w:rPr>
      </w:pPr>
      <w:r>
        <w:rPr>
          <w:rFonts w:ascii="Times New Roman" w:cs="Times New Roman" w:eastAsia="Times New Roman" w:hAnsi="Times New Roman"/>
          <w:sz w:val="18"/>
          <w:szCs w:val="18"/>
          <w:color w:val="auto"/>
        </w:rPr>
        <w:t>We will pay the sales agents an aggregate fee equal to up to 3.0% of the gross proceeds from the sales of all shares of common stock sold through the sales agents under the sales agreement. We have also agreed to reimburse the sales agents for their reasonable and documented out-of-pocket expenses, including the reasonable fees, disbursements and expenses of counsel for the sales agents payable upon execution of the sales agreement in an amount not to exceed $100,000, as well as ongoing disbursements of counsel for the sales agents payable in the amount of up to $25,000 in connection with the transactions contemplated under the sales agreement.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sales agreement, we may also sell shares of our common stock in negotiated transactions or as otherwise agreed with the sales agents, including sales to the sales agents, as principal for their own account, at a price to be agreed upon at the time of sale. If we sell shares of our common stock in a manner which is not an “at the market” offering, including sales to the sales agents, as principal for its own account, we will enter into a separate terms agreement with the sales agents, and we will describe the terms of the offering of such shares in a separate prospectus supplement or free writing prospectus if required. The sales agents do not have any obligation to purchase shares of common stock from us as principal and may elect whether or not to do so in their sole and absolute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sales agents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certain of their affiliates have, from time to time, provided, and may in the future provide, a variety of these services to us and to persons and entities with relationships with us, for which they received or will receive customary fees and expenses.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sales agents and their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sales agents that would permit a public offering of the shares of common stock offered by this prospectus supplement and the accompanying prospectus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shares of common stock offered by this prospectus supplement in any jurisdiction in which such an offer or a solicitation is unlawful.</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be aware that the laws and practices of certain countries require investors to pay stamp taxes and other charges in connection with purchases of securities.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offered hereby will be passed upon for us by Goodwin Procter LLP, Redwood City, California. Certain legal matters in connection with this offering will be passed upon for the sales agents by Latham &amp; Watkins, New York, New York.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of Rocket Lab USA, Inc. incorporated by reference in this prospectus and the effectiveness of the Rocket Lab USA, Inc.’s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Our filings with the SEC are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public through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In addition, we make available free of charge on our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https://www.rocketlabcorp.com</w:t>
      </w:r>
      <w:r>
        <w:rPr>
          <w:rFonts w:ascii="Times New Roman" w:cs="Times New Roman" w:eastAsia="Times New Roman" w:hAnsi="Times New Roman"/>
          <w:sz w:val="17"/>
          <w:szCs w:val="17"/>
          <w:color w:val="auto"/>
        </w:rPr>
        <w:t>) our Annual Report on Form 10-K, Quarterly Reports on Form 10-Q, Current Reports on Form 8-K and all amendments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reports as soon as reasonably practicable after such material is electronically filed with the SEC.</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relating to the shares of our common stock covered by this prospectus supplement and the accompanying prospectus. This prospectus supplement and the accompanying prospectus do not contain all of the information set forth in the registration statement. Whenever a reference is made in this prospectus supplement or the accompanying prospectus to a contract or other document of ours, please be aware that the reference is only a summary and that you should refer to the exhibits that are part of the registration statement for a copy of the contract or other document.</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of which this prospectus supplement forms a part is terminated or completed:</w:t>
      </w:r>
    </w:p>
    <w:p>
      <w:pPr>
        <w:spacing w:after="0" w:line="188" w:lineRule="exact"/>
        <w:rPr>
          <w:sz w:val="20"/>
          <w:szCs w:val="20"/>
          <w:color w:val="auto"/>
        </w:rPr>
      </w:pPr>
    </w:p>
    <w:p>
      <w:pPr>
        <w:ind w:left="820" w:right="40" w:hanging="407"/>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2024, filed with the SEC on </w:t>
      </w:r>
      <w:hyperlink r:id="rId35">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as amended by Amendment No. 1 on Form 10-K/A, filed with the SEC on </w:t>
      </w:r>
      <w:hyperlink r:id="rId36">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w:t>
      </w:r>
    </w:p>
    <w:p>
      <w:pPr>
        <w:ind w:left="820" w:right="1020" w:hanging="407"/>
        <w:spacing w:after="0" w:line="250" w:lineRule="auto"/>
        <w:tabs>
          <w:tab w:leader="none" w:pos="820" w:val="left"/>
        </w:tabs>
        <w:numPr>
          <w:ilvl w:val="0"/>
          <w:numId w:val="7"/>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Quarterly Reports on Form 10-Q for the quarterly periods ended March 31, 2025 and June 30, 2025, filed with the SEC on </w:t>
        </w:r>
        <w:r>
          <w:rPr>
            <w:rFonts w:ascii="Times New Roman" w:cs="Times New Roman" w:eastAsia="Times New Roman" w:hAnsi="Times New Roman"/>
            <w:sz w:val="18"/>
            <w:szCs w:val="18"/>
            <w:u w:val="single" w:color="auto"/>
            <w:color w:val="0000EE"/>
          </w:rPr>
          <w:t>May 8,</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August 7, 2025</w:t>
        </w:r>
      </w:hyperlink>
      <w:hyperlink r:id="rId37">
        <w:r>
          <w:rPr>
            <w:rFonts w:ascii="Times New Roman" w:cs="Times New Roman" w:eastAsia="Times New Roman" w:hAnsi="Times New Roman"/>
            <w:sz w:val="18"/>
            <w:szCs w:val="18"/>
            <w:color w:val="000000"/>
          </w:rPr>
          <w:t>, respectively;</w:t>
        </w:r>
      </w:hyperlink>
    </w:p>
    <w:p>
      <w:pPr>
        <w:ind w:left="820" w:right="180" w:hanging="407"/>
        <w:spacing w:after="0" w:line="250" w:lineRule="auto"/>
        <w:tabs>
          <w:tab w:leader="none" w:pos="820" w:val="left"/>
        </w:tabs>
        <w:numPr>
          <w:ilvl w:val="0"/>
          <w:numId w:val="7"/>
        </w:numPr>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12,</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August 29, 2025</w:t>
        </w:r>
      </w:hyperlink>
      <w:hyperlink r:id="rId39">
        <w:r>
          <w:rPr>
            <w:rFonts w:ascii="Times New Roman" w:cs="Times New Roman" w:eastAsia="Times New Roman" w:hAnsi="Times New Roman"/>
            <w:sz w:val="18"/>
            <w:szCs w:val="18"/>
            <w:color w:val="000000"/>
          </w:rPr>
          <w:t>; and</w:t>
        </w:r>
      </w:hyperlink>
    </w:p>
    <w:p>
      <w:pPr>
        <w:ind w:left="820" w:right="160" w:hanging="407"/>
        <w:spacing w:after="0" w:line="260"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Form 8-K12B filed with the SEC on </w:t>
      </w:r>
      <w:hyperlink r:id="rId41">
        <w:r>
          <w:rPr>
            <w:rFonts w:ascii="Times New Roman" w:cs="Times New Roman" w:eastAsia="Times New Roman" w:hAnsi="Times New Roman"/>
            <w:sz w:val="18"/>
            <w:szCs w:val="18"/>
            <w:u w:val="single" w:color="auto"/>
            <w:color w:val="0000EE"/>
          </w:rPr>
          <w:t>May 23, 2025</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1" w:lineRule="exact"/>
        <w:rPr>
          <w:rFonts w:ascii="Times New Roman" w:cs="Times New Roman" w:eastAsia="Times New Roman" w:hAnsi="Times New Roman"/>
          <w:sz w:val="18"/>
          <w:szCs w:val="18"/>
          <w:color w:val="0000EE"/>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supplement is delivered, upon written or oral request,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and telephone number:</w:t>
      </w:r>
    </w:p>
    <w:p>
      <w:pPr>
        <w:spacing w:after="0" w:line="180"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7"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3881 McGowen Street</w:t>
      </w:r>
    </w:p>
    <w:p>
      <w:pPr>
        <w:spacing w:after="0" w:line="9"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Long Beach, California 90808</w:t>
      </w:r>
    </w:p>
    <w:p>
      <w:pPr>
        <w:spacing w:after="0" w:line="9"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(714) 465-5737</w:t>
      </w:r>
    </w:p>
    <w:p>
      <w:pPr>
        <w:spacing w:after="0" w:line="205" w:lineRule="exact"/>
        <w:rPr>
          <w:rFonts w:ascii="Times New Roman" w:cs="Times New Roman" w:eastAsia="Times New Roman" w:hAnsi="Times New Roman"/>
          <w:sz w:val="18"/>
          <w:szCs w:val="18"/>
          <w:color w:val="0000EE"/>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www.rocketlacorp.com</w:t>
      </w:r>
      <w:r>
        <w:rPr>
          <w:rFonts w:ascii="Times New Roman" w:cs="Times New Roman" w:eastAsia="Times New Roman" w:hAnsi="Times New Roman"/>
          <w:sz w:val="18"/>
          <w:szCs w:val="18"/>
          <w:color w:val="auto"/>
        </w:rPr>
        <w:t>. Information contained on our website is not incorporated by reference into this prospectus supplement, and you should not consider any information on, or that can be accessed from, our website as part of this prospectus supplement.</w:t>
      </w:r>
    </w:p>
    <w:p>
      <w:pPr>
        <w:spacing w:after="0" w:line="175" w:lineRule="exact"/>
        <w:rPr>
          <w:rFonts w:ascii="Times New Roman" w:cs="Times New Roman" w:eastAsia="Times New Roman" w:hAnsi="Times New Roman"/>
          <w:sz w:val="18"/>
          <w:szCs w:val="18"/>
          <w:color w:val="0000EE"/>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We have incorporated exhibits into the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into this prospectus supplement.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88" w:lineRule="exact"/>
        <w:rPr>
          <w:rFonts w:ascii="Times New Roman" w:cs="Times New Roman" w:eastAsia="Times New Roman" w:hAnsi="Times New Roman"/>
          <w:sz w:val="18"/>
          <w:szCs w:val="18"/>
          <w:color w:val="0000EE"/>
        </w:rPr>
      </w:pPr>
    </w:p>
    <w:p>
      <w:pPr>
        <w:jc w:val="center"/>
        <w:ind w:right="-7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Rocket Lab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189865</wp:posOffset>
            </wp:positionV>
            <wp:extent cx="1911350"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9113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from time to time offer and sell the securities identified above in one or more offerings. In addition, selling securityholders to be named in a prospectus supplement may offer our securities from time to time. This prospectus describes the general terms of these securities and the general manner in which these securities will be offered.</w:t>
      </w:r>
    </w:p>
    <w:p>
      <w:pPr>
        <w:spacing w:after="0" w:line="176"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the applicable prospectus supplement and any related free writing prospectus, as well the documents incorporated by reference herein and therein, before you invest. The securities may be offered by us or by selling securityholders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“RKLB.” On March 10, 2025, the closing price for our common stock, as reported on Nasdaq, was $17.12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8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11, 2025.</w:t>
      </w:r>
    </w:p>
    <w:p>
      <w:pPr>
        <w:sectPr>
          <w:pgSz w:w="11900" w:h="16838" w:orient="portrait"/>
          <w:cols w:equalWidth="0" w:num="1">
            <w:col w:w="11120"/>
          </w:cols>
          <w:pgMar w:left="320" w:top="765" w:right="4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920" w:type="dxa"/>
            <w:vAlign w:val="bottom"/>
            <w:tcBorders>
              <w:top w:val="single" w:sz="8" w:color="auto"/>
            </w:tcBorders>
            <w:gridSpan w:val="2"/>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4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2"/>
          </w:tcPr>
          <w:p>
            <w:pPr>
              <w:spacing w:after="0"/>
              <w:rPr>
                <w:sz w:val="17"/>
                <w:szCs w:val="17"/>
                <w:color w:val="auto"/>
              </w:rPr>
            </w:pPr>
          </w:p>
        </w:tc>
        <w:tc>
          <w:tcPr>
            <w:tcW w:w="4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(the “SE”) under the Securities Act of 1933, as amended (the “Securities Act”) utilizing a “shelf” registration process as a “well-known seasoned issuer”, as defined in Rule 405 under the Securities Act. Under this shelf registration process, we and/or any selling securityholders may from time to time sell any combination of the securities described in this prospectus in one or more offerings.</w:t>
      </w:r>
    </w:p>
    <w:p>
      <w:pPr>
        <w:spacing w:after="0" w:line="180"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or the selling securityholders may offer. Each time we or the selling securityholders offer and sell securities, we or the selling securityholders will provide you with one or more prospectus supplements that will contain specific information about the terms of the offering. The prospectus supplement or a free writing prospectus may also add, update or change information contained in this prospectus. This prospectus, together with the accompanying prospectus supplement and any related free writing prospectus, contains important information you should know before investing in our securities, including important information about us and the securities being offered. You should read both this prospectus, the accompanying prospectus supplement and any related free writing prospectus together with the additional information described under the heading “Where You Can Find More Information” and “Incorporation by Reference” elsewhere in this prospectus.</w:t>
      </w:r>
    </w:p>
    <w:p>
      <w:pPr>
        <w:spacing w:after="0" w:line="17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we nor any selling securityholder have authorized anyone to provide you with different or additional information from that set forth in this prospectus, any accompanying prospectus supplement and any related free writing prospectus. We do not take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or therein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by reference herein or therein may contain market data, industry statistics and other data that have been obtained or compiled from information made available by independent third parties. We have not independently verified the accuracy and completeness of such data.</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“Rocket Lab”, “we,” “our” and “us” refer, collectively, to Rocket Lab USA, Inc., a Delaware corporation, and its consolidated subsidiaries.</w:t>
      </w:r>
    </w:p>
    <w:p>
      <w:pPr>
        <w:spacing w:after="0" w:line="162" w:lineRule="exact"/>
        <w:rPr>
          <w:sz w:val="20"/>
          <w:szCs w:val="20"/>
          <w:color w:val="auto"/>
        </w:rPr>
      </w:pPr>
    </w:p>
    <w:p>
      <w:pPr>
        <w:ind w:left="120" w:right="26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significant risks. Please see the risk factors under the heading “Risk Factors” in our most recent Annual Report on Form 10-K , as well as any risk factors included in our Quarterly Reports on Form 10-Q, our Current Reports on Form 8-K, and the other documents we file with the SEC that are incorporated by reference in this prospectus, along with any risk factors identified in a prospectus supplement or any applicable free writing prospectus. Before making an investment decision, you should carefully consider these risks as well as other information we include or incorporate by reference in this prospectus and any prospectus supplement.</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Actual results could differ materially from those anticipated in these forward-looking statements as a result of certain factors, including the risks referenced below and described in the documents incorporated herein by reference.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 Section 27A of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and achieve operational efficiencies;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our Neutron Launch Vehicle (“Neutron”) or significant delays in developing Neutron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spacecraft, space systems or space system components failing to operate as intended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priorities, regulations, mandates or funding for programs in which we or our customers participate, which could negatively impact our business;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comply with, and costs associated with complying, any applicable regulations, and specifically, U.S. government contract regulations, which could result in loss of contract opportunities, contract modifications or termination, assessment of penalties and fines, and suspension or debarment from U.S. government contracting or subcontracting;</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officers, key employees or directors, and our ability to attract and retain key personnel, including Peter Beck, our President, Chief Executive Officer and Chairman;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protect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key raw materials or components used to produce our products or increases in prices of raw materials;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our business plans, forecasts and other expectations, including the integration of recently acquired businesses, and to identify and realize additional opportunities;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and consumption of resources as a result of acquisitions of other companies and success in integrating and otherwise achieving the benefits of recent and potential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integrate or benefit from recently purchased assets or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inflation and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war in Ukraine or Israel or other global conflicts;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government and commercial launch services and spacecraft industries;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the markets for rocket launch services, mission services, spacecraft and spacecraft components;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failure to comply with contractual requirements or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operational and financial resources or raise additional capital or generate sufficient cash flows;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unauthorized access to our computer systems or those of third parties that we utilize in our operations, including those relating to cybersecurity or arising from cyber-attacks;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prospectus titled “Risk Factors.”</w:t>
      </w:r>
    </w:p>
    <w:p>
      <w:pPr>
        <w:spacing w:after="0" w:line="225"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information available to us at the time of this prospectus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Mission: We Open Access to Space to Improve Life on Earth.</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 We believe that space has defined some of humanity’s greatest achievements and it continues to shape our future. We are motivated by the impact we can have on Earth by making it easier to get to space and to use it as a platform for innovation, exploration and infrastructure.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design and manufacture small and medium-class rockets, spacecraft and spacecraft components and related software and services to support the space economy. Our launch services are used to place spacecraft into Earth orbit and escape trajectories, and utilize orbital launch vehicles that place payloads into a variety of planes/inclinations and altitude trajectories. Our space systems solutions are the building blocks for spacecraft, which includes composite structures, reaction wheels, star trackers, solar power solutions, radios, separation systems, and command and control spacecraft software. Our family of spacecraft product lines is configurable for a range of low Earth orbit, medium Earth orbit, geosynchronous orbit and interplanetary missions.</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3881 McGowen Street, Long Beach, California 90808, and our telephone number is (714) 465-5737. Our website is located at www.rocketlabusa.com. We do not incorporate the information on or accessible through our website into this prospectus, and you should not consider any information on, or that can be accessed through, our website as part of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 We will not receive any proceeds from the sale of securities by selling securityholders.</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(the “Certificate of Incorporation”), our amended and restated bylaws (the “Bylaws”) and the certificate of designation for the Series A Preferred Stock (the “Certificate of Designation”), which are exhibits to the registration statement of which this prospectus forms a part, and by applicable law. The terms of our common stock and preferred stock may also be affected by Delaware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2,500,000,000 shares of common stock, $0.0001 par value per share and 100,000,000 shares of preferred stock, $0.0001 par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Each share of our common stock entitles the holder thereof to one vote on all matters submitted to a vote of the shareholders, including the election of directors, and does not have cumulative voting rights. Accordingly, the holders of a majority of the shares of common stock entitled to vote in any election of directors can elect all of the directors standing for election.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common stock are entitled to receive dividends, if any, as may be declared from time to time by our Board of Directors (the “Board”)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shareholders after the payment of all of our debts and other liabilities, subject to the satisfaction of any liquidation preference granted to the holders of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No holders of our common stock will be entitled to preemptive, conversion, or subscription rights contained in the Certificate of Incorporation or Bylaws. There are no redemption or sinking fund provisions applicable to the common stock. The rights, preferences, and privileges of the holders of our common stock are subject to, and may be adversely affected by, the rights of the holders of shares of any series of preferred stock that may be designated and issued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Certificate of Incorporation, the Board has the authority, without further action by the stockholders, to issue up to 100,000,000 shares of preferred stock in one or more series, to establish from time to time the number of shares to be included in each such series, to fix the rights, preferences, and privileges of the shares of each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wholly unissued series and any qualifications, limitations, or restrictions thereon and to increase or decrease the number of shares of any such series, but not below the number of shares of such series then outstanding.</w:t>
      </w:r>
    </w:p>
    <w:p>
      <w:pPr>
        <w:spacing w:after="0" w:line="16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6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series of preferred stock being offered will include specific terms relating to the offering. They will include, where applicable:</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December 3, 2024, we entered into an exchange agreement with The Equatorial Trust (the “Trust”), a family trust established by Sir Peter Beck (“Sir Peter”), our Founder, President, Chief Executive Officer and Chairman,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to exchange 50,951,250 shares of our common stock into 50,951,250 shares of our Series A Convertible Participating Preferred Stock, $0.0001 par value per share (the “Series A Preferred Stock”). On January 7, 2025, the exchange was consummated and we filed the Certificate of Designation with the Secretary of State of the State of Delaware, which became effective upon filing. At the Closing, we issued 50,951,250 shares of Series A Preferred Stock to the Trust. The terms of the Series A Preferred Stock are described in further detail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Conversion Rate Adjustments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the terms of the Certificate of Designation, each share of Series A Preferred Stock will be convertible at any time at the option of the holder of the Series A Preferred Stock (a “Holder”) into a number of shares of common stock at the then-applicable conversion rate (the “Conversion Rate”). In addition, each share of Series A Preferred Stock will automatically convert into a number of shares of common stock at the Conversion Rate upon the earliest to occur of (a) a transfer of such share (other than to a Permitted Transferee), (b) the first date on which Sir Peter no longer serves as (i) our Chief Executive Officer or (ii) such other executive officer position of us as approved by the Board, (c) Sir Peter’s death or permanent disability, or</w:t>
      </w:r>
    </w:p>
    <w:p>
      <w:pPr>
        <w:spacing w:after="0" w:line="3" w:lineRule="exact"/>
        <w:rPr>
          <w:sz w:val="20"/>
          <w:szCs w:val="20"/>
          <w:color w:val="auto"/>
        </w:rPr>
      </w:pPr>
    </w:p>
    <w:p>
      <w:pPr>
        <w:ind w:left="120" w:right="120" w:hanging="4"/>
        <w:spacing w:after="0" w:line="255"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the outstanding shares of Series A Preferred Stock no longer represent a minimum beneficial ownership by Sir Peter of five percent. A “Permitted Transferee” is defined in the Certificate of Designation and includes Sir Peter and his controlled affiliates. The Series A Series A Preferred Stock is not redeemable by us at any time.</w:t>
      </w:r>
    </w:p>
    <w:p>
      <w:pPr>
        <w:spacing w:after="0" w:line="18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initial Conversion Rate for each share of Series A Preferred Stock is one share of common stock, and is subject to adjustment, including for stock dividends, distributions, stock splits and stock combinations. In addition, if we (a) issue securities entitling the holder thereof to acquire common stock or (b) declare or make any dividend or other distribution of our assets, a Holder will be entitled to participate to the same extent if the Holder had held the number of shares of common stock acquirable upon conversion of such Holder’s Series A Preferred Stock. The Certificate of Designation also contains customary protections in the event of changes in common stock as a result of certain fundamental change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Designation Right</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The Certificate of Designation provides that, so long as any shares of Series A Preferred Stock are outstanding, the Holders, voting exclusively and as a separate class, will be entitled to designate and elect at least one individual to serve on the Board as a director (a “Series A Preferred Stock Director”). The initial Series A Preferred Stock Director is Sir Peter. Sir Peter will serve an initial term that expires at our annual meeting of stockholders in 2027.</w:t>
      </w:r>
    </w:p>
    <w:p>
      <w:pPr>
        <w:spacing w:after="0" w:line="158"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the event the Board increases its size to more than ten members, the Holders will be entitled to designate and elect, voting exclusively and as a separate class, one or more additional Series A Preferred Stock Directors in order to maintain the right to elect ten percent of the total number of authorized directorships, rounded up to the nearest whole number. Additional Series A Preferred Stock Directors will serve for an initial term fixed by the Board. After the initial term of a Series A Preferred Stock Director has expired, his or her successor shall be elected for a term expiring at the third annual meeting following his or her election, unless such term expires sooner. A Series A Preferred Stock Director will serve until the earlier of: (a) his or her successor being elected and qualified, (b) his or her earlier death, disability, retirement, resignation or removal or (c) such time as the size of the Board is automatically reduced.</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To be eligible for election as a Series A Preferred Stock Director, a nominee (other than Sir Peter) must: (a) satisfy all requirements regarding service as a director of us under applicable law and regulation and our bylaws, (b) not be an immediate family member of Sir Peter or any Holder, (c) be independent of each Holder, and (d) have served on the board of directors of at least one publicly traded corporation, in the United States or elsewhere, within the last five years, or is otherwise well qualified in the reasonable judgment of the Board. The Series A Preferred Stock Director may be removed at any time as a director on the Board (without cause) upon the written request of the Holders by the affirmative vote of the holders of at least a majority of the outstanding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shares of Series A Preferred Stock at the time and with each share of Series A Preferred Stock entitled to one vote. At the first annual meeting of our stockholders held after such time as there are no shares of Series A Preferred Stock outstanding, the director designation and election rights will terminate.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Series A Preferred Stock is not entitled to any scheduled dividend payments. Holders will be entitled to receive dividends on shares of Series A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of us, whether voluntary or involuntary, after the satisfaction in full of our debts and the payment of any liquidation preference ranking senior to the Series A Preferred Stock, Holders will be entitled to receive an amount equal to $0.0001 per share of Series A Preferred Stock. Following the payment of the full amount of the liquidation preference in respect of all outstanding shares of Series A Preferred Stock, Holders participate pari passu with the holders of the common stock (on an as-if-converted-to-common-stock basis) in our net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and Consent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Series A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Series A Preferred Stock is convertible. In addition, we may not, without the affirmative vote of the Holders of a majority of the then outstanding shares of Series A Preferred Stock: (a) alter, amend or repeal any provision of our Certificate of Incorporation if it would alter or change the powers, preferences or special rights of the Series A Preferred Stock so as to affect them adversely, (b) alter, amend, or repeal the Certificate of Designation, or (c) increase the authorized number of shares of Series A Preferred Stock or authorize the issuance of additional shares of Series A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Subject to the rights of any series of preferred stock then outstanding to elect additional directors under specified circumstances, the directors on the Board will be divided, with respect to the time for which they severally hold office, into three classes designated as Class I, Class II and Class III, respectively. At each annual meeting of stockholders, directors elected to succeed those directors whose terms expire shall be elected for a term of office to expire at the third succeeding annual meeting of stockholders after their election.</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Under the Bylaws, except as may be required in the Certificate of Incorporation, directors shall be elected by a plurality of the votes cast by the holders of the shares present in person or represented by proxy at the meeting and entitled to vote on the election of directors.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Each director shall hold office until the annual meeting at which such director’s term expires and until such director’s successor is elected and qualified or until such director’s earlier death, resignation, or removal. Subject to the rights of holders of any series of preferred stock to elect directors, directors may be removed only as provided by the Certificate of Incorporation and applicable law. All vacancies occurring on the Board and any newly created directorships resulting from any increase in the authorized number of directors shall be filled in the manner set forth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Subject to the rights, if any, of the holders of any series of preferred stock then outstanding to elect directors and to fill vacancies in the Board relating thereto, any and all vacancies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preferred stock then outstanding to elect directors, when the number of directors is increased or decreased, the Board shall, subject to the Certificate of Incorporation, determine the class or classes to which the increased or decreased number of directors shall be apportioned; provided, however, that no decrease in the number of directors shall shorten the term of any incumbent director. In the event of a vacancy in the Board, the remaining directors, except as otherwise provided by law, shall exercise the powers of the full Board until the vacancy is filled.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applicable law, the Certificate of Incorporation or the Bylaws, at each meeting of stockholders the holders of a majority of the voting power of the shares of stock issued and outstanding and entitled to vote at the meeting, present in person or represented by proxy, shall constitute a quorum for the transaction of business. If less than a quorum is present at a meeting, the stockholders representing a majority of the voting power present at the meeting or the presiding officer may adjourn the meeting from time to time, and the meeting may be held as adjourned without further notice.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“RKLB.”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Certificate of Incorporation and the Bylaws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our Board, which we believe may result in an improvement of the terms of any such acquisition in favor of our stockholders. However, they also give the board of directors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Action by Written Consent and Advance Notice Requirements for Stockholder Proposals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provides that holders of our common stock may not take action by written consent, but may only take action at annual or special meetings of our stockholders. As a result, a holder controlling a majority of our capital stock would not be able to amend the Bylaws or remove directors without holding a meeting of our stockholders called in accordance with the Bylaws. The Bylaws further provide that special meetings of our stockholders may be called only by a majority of our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Bylaws provide for advance notice procedures for stockholders seeking to bring business before an annual meeting of stockholders or to nominate candidates for election as directors at an annual meeting of stockholders. The Bylaws also specify certain requirements regarding the form and content of a stockholder’s notice. These provisions might preclude stockholders from bringing matters before our annual meeting of stockholders or from making nominations for directors at the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amend or repeal any provision contained in the Certificate of Incorporation in the manner prescribed by the laws of the State of Delaware, and all rights conferred upon stockholders are granted subject to this reservation. Notwithstanding any provision of the Certificate of Incorporation or any provision of law that might otherwise permit a lesser vote or no vote, subject to the rights of any outstanding series of preferred stock, but in addition to any vote of the holders of any class or series of our stock required by law, (i) the affirmative vote of the holders of at least sixty-six and two-thirds percent (66-2/3%) of the voting power of all of the then-outstanding shares of our capital stock entitled to vote on such amendment, voting together as a single class, and (ii) the affirmative vote of not less than sixty-six and two-thirds percent (66-2/3%) of the voting power of the outstanding shares of each class entitled to vote thereon as a class will be required to amend or repeal certain provisions of the Certificate of Incorporation.</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Board shall have the power to adopt, amend or repeal the Bylaws. Any adoption, amendment or repeal of the Bylaws by our Board shall require the approval of a majority of the directors on our Board. The stockholders shall also have power to adopt, amend or repeal the Bylaws. Notwithstanding any other provision of the Certificate of Incorporation or any provision of law that might otherwise permit a lesser or no vote, but in addition to any vote of the holders of any class or series of our stock required by applicable law or by the Certificate of Incorporation, the affirmative vote of the holders of at least sixty-six and two-thirds percent (66-2/3%) of the voting power of all of the then-outstanding shares of our capital stock entitled to vote on such amendment, voting together as a single class, shall be required for the stockholders to adopt, amend or repeal any provision of the Bylaws, provided that, if our Board recommends that the holders of our capital stock approve any amendment or repeal of the Bylaws at a meeting of stockholders, such amendment or repeal shall only require the affirmative vote of the majority of the outstanding shares of our capital stock entitled to vote on such amendment or repeal, voting together as a single class.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68" w:lineRule="exact"/>
        <w:rPr>
          <w:sz w:val="20"/>
          <w:szCs w:val="20"/>
          <w:color w:val="auto"/>
        </w:rPr>
      </w:pPr>
    </w:p>
    <w:p>
      <w:pPr>
        <w:ind w:left="120" w:right="88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approves the acquisition of stock resulting in such person becoming an interested stockholder or the business combination before the time that the person becomes an interested stockholder;</w:t>
      </w:r>
    </w:p>
    <w:p>
      <w:pPr>
        <w:spacing w:after="0" w:line="161" w:lineRule="exact"/>
        <w:rPr>
          <w:rFonts w:ascii="Times New Roman" w:cs="Times New Roman" w:eastAsia="Times New Roman" w:hAnsi="Times New Roman"/>
          <w:sz w:val="18"/>
          <w:szCs w:val="18"/>
          <w:color w:val="auto"/>
        </w:rPr>
      </w:pPr>
    </w:p>
    <w:p>
      <w:pPr>
        <w:jc w:val="both"/>
        <w:ind w:left="120" w:right="280" w:firstLine="436"/>
        <w:spacing w:after="0" w:line="266"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resulting in such person becoming an interested stockholder, the interested stockholder owns at least 85% of the outstanding voting stock of the corporation at the time the business combination commences (excluding voting stock owned by directors who are also officers and certain employee stock plans); or</w:t>
      </w:r>
    </w:p>
    <w:p>
      <w:pPr>
        <w:spacing w:after="0" w:line="17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board of directors and at a meeting of stockholders, not by written consent, by the affirmative vote of 2/3 of the outstanding voting stock which is not owned by the interested stockholder.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21"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As permitted by the DGCL, our Certificate of Incorporation contains provisions that eliminate the personal liability of directors for monetary damages for any breach of fiduciary duties as a director, except liability for the following (i) any breach of a director’s duty of loyalty to us or our stockholders; (ii) acts or omissions not in good faith or that involve intentional misconduct or a knowing violation of law; (iii) under Section 174 of the DGCL; or (iv) any transaction from which the director derived an improper personal benefit. As permitted by the DGCL, the Bylaws provide that: (i) we are required to indemnify its directors and executive officers to the fullest extent permitted by the DGCL, subject to very limited exceptions; (ii) we may indemnify our other employees and agents as set forth in the DGCL; (iii) we are required to advance expenses, as incurred, to its directors and executive officers in connection with a legal proceeding to the fullest extent permitted by the DGCL, subject to very limited exceptions; and (iv) the rights conferred in the Bylaws are not exclusive.</w:t>
      </w:r>
    </w:p>
    <w:p>
      <w:pPr>
        <w:spacing w:after="0" w:line="17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director and executive officer to provide these individuals additional contractual assurances regarding the scope of the indemnification set forth in the Certificate of Incorporation and Bylaws and to provide additional procedural protections. There is no pending litigation or proceeding involving one of our directors or executive officers for which indemnification is sought.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indemnification provisions in the Certificate of Incorporation, Bylaws, and the indemnification agreements entered into or to be entered into between us and each of its directors and executive officers may be sufficiently broad to permit indemnification of our directors and executive officers for liabilities arising under the Securities Act. We currently carries liability insurance for our directors and officers. Certain of our directors are also indemnified by their employers with regard to service on our Board.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unless we consent in writing to the selection of an alternative forum, that the Court of Chancery of the State of Delaware shall be the sole and exclusive forum for any state law claims for: (i) any derivative action or proceeding brought on behalf of us; (ii) any action asserting a claim of breach of a fiduciary duty owed by any current or former director, officer, or other employee of ours to us or our stockholders; (iii) any action asserting a claim against us or any current or former director, officer or other employee or stockholder of ours arising pursuant to any provision of the DGCL or the Certificate of Incorporation or the Bylaws; or (iv) any action asserting a claim against us or any current or former director, officer or other employee or stockholder of ours governed by the internal affairs doctrine.</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addition, the Certificate of Incorporation requires that, unless we consent in writing to the selection of an alternative forum, the federal district courts of United States shall be the sole and exclusive forum for resolving any action asserting a claim arising under the Securities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the section titled “—Subordination” and in the applicable prospectus supplement.</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5540" w:right="4700" w:hanging="4884"/>
        <w:spacing w:after="0" w:line="367" w:lineRule="auto"/>
        <w:tabs>
          <w:tab w:leader="none" w:pos="109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 and whether they are senior or subordinated; 15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80" w:hanging="424"/>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3"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88"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 or</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applicable indenture to this “—Description of Debt Securities” or any other similarly titled section in any prospectus supplement or other offering document relating to a series of debt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1080" w:right="8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52"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3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the “Description of Capital Stock,” “Description of Debt Securities” and “Description of Warrants” will apply to the securities included in each unit, to the extent relevant and as may be updated in any prospectus supplements.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Delaware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89" w:lineRule="exact"/>
        <w:rPr>
          <w:sz w:val="20"/>
          <w:szCs w:val="20"/>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Such selling securityholders may be parties to a registration rights agreement with us, or we otherwise may have agreed or will agree to register the resale of their securities. If this prospectus is used by selling securityholders for the resale of any securities registered under this registration statement, information about such selling securityholders, their beneficial ownership of our securities and their relationship with us will be set forth in a prospectus supplement.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or any selling securityholders may sell securities: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 any other method permitted by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may sell securities in “at-the market” offerings (as defined in Rule 415 under the Securities Act of 1933).</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Either we or the selling securityholders may directly solicit offers to purchase securities, or agents may be designated to solicit such offers. In the prospectus supplement relating to such offering, either we or the selling securityholders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including block trades, or other methods described in the applicable prospectus supplement.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and/or the selling securityholders will enter into an underwriting agreement, sales agreement or other agreement with them at the time of sale to them, and the names of the underwriters or agents and the terms of the related agreement will be set forth in the prospectus supplement relating to such offering.</w:t>
      </w:r>
    </w:p>
    <w:p>
      <w:pPr>
        <w:spacing w:after="0" w:line="176"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of securities, we or the selling securityholders may grant to the underwriters an option to purchase additional securities with an additional underwriting commission, as may be set forth in the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accompanying prospectus supplement. If we or the selling securityholders grant any such option, the terms of such option will be set forth in the prospectus supplement for such securities.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or the selling securityholders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or the selling securityholders to indemnification by us or the selling securityholders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the selling securityholders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4" w:lineRule="exact"/>
        <w:rPr>
          <w:sz w:val="20"/>
          <w:szCs w:val="20"/>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or the selling securityholders. Any remarketing firm will be identified and the terms of its agreement, if any, with us or the selling securityholders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to or through a market maker or into an existing trading market in accordance with Rule 415(a)(4) under the Securities Act. In addition, we or the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the selling securityholders or borrowed from us or the selling securityholders or others to settle those sales or to close out any related open borrowings of stock, and may use securities received from us or the selling securityholders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the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Goodwin Procter LLP, Redwood City, California.</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of Rocket Lab USA, Inc. incorporated by reference in this Prospectus, and the effectiveness of Rocket Lab USA,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that contains reports, proxy and information statements, and other information regarding us.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www.rocketlabusa.com</w:t>
      </w:r>
      <w:r>
        <w:rPr>
          <w:rFonts w:ascii="Times New Roman" w:cs="Times New Roman" w:eastAsia="Times New Roman" w:hAnsi="Times New Roman"/>
          <w:sz w:val="18"/>
          <w:szCs w:val="18"/>
          <w:color w:val="auto"/>
        </w:rPr>
        <w:t>. Our website and the information contained or connected to our website is not a part of this prospectus or any prospectus supplement and is not incorporated by reference in this prospectus or any prospectus supplement.</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 under the Securities Act with respect to the securities offered by this prospectus and the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of which this prospectus is a part,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with the SEC on </w:t>
      </w:r>
      <w:hyperlink r:id="rId78">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on </w:t>
      </w:r>
      <w:hyperlink r:id="rId7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24, 2020, as the description therein has been updated and superseded by the description of our capital stock contained in </w:t>
      </w:r>
      <w:hyperlink r:id="rId8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February 27, 2025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upon written or oral request, a copy of the documents incorporated by reference into this prospectus but not delivered with the prospectus. You may request a copy of these filings, and any exhibits we have specifically incorporated by reference as an exhibit in this prospectus, at no cost by contacting us at the following address and telephone number:</w:t>
      </w:r>
    </w:p>
    <w:p>
      <w:pPr>
        <w:spacing w:after="0" w:line="7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Rocket Lab USA,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3881 McGowen Street</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Long Beach, California 90808</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(714) 465-5737</w:t>
      </w:r>
    </w:p>
    <w:p>
      <w:pPr>
        <w:spacing w:after="0" w:line="205" w:lineRule="exact"/>
        <w:rPr>
          <w:rFonts w:ascii="Times New Roman" w:cs="Times New Roman" w:eastAsia="Times New Roman" w:hAnsi="Times New Roman"/>
          <w:sz w:val="18"/>
          <w:szCs w:val="18"/>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www.rocketlabusa.com</w:t>
      </w:r>
      <w:r>
        <w:rPr>
          <w:rFonts w:ascii="Times New Roman" w:cs="Times New Roman" w:eastAsia="Times New Roman" w:hAnsi="Times New Roman"/>
          <w:sz w:val="18"/>
          <w:szCs w:val="18"/>
          <w:color w:val="auto"/>
        </w:rPr>
        <w:t>.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175" w:lineRule="exact"/>
        <w:rPr>
          <w:rFonts w:ascii="Times New Roman" w:cs="Times New Roman" w:eastAsia="Times New Roman" w:hAnsi="Times New Roman"/>
          <w:sz w:val="18"/>
          <w:szCs w:val="18"/>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you any information other than that contained or incorporated by reference into this prospectus.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388620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 to $750,000,000</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1048385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720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9113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BofA Securities</w:t>
            </w:r>
          </w:p>
        </w:tc>
        <w:tc>
          <w:tcPr>
            <w:tcW w:w="37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Cantor</w:t>
            </w:r>
          </w:p>
        </w:tc>
      </w:tr>
      <w:tr>
        <w:trPr>
          <w:trHeight w:val="32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BTIG</w:t>
            </w:r>
          </w:p>
        </w:tc>
        <w:tc>
          <w:tcPr>
            <w:tcW w:w="37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KeyBanc Capital Markets</w:t>
            </w:r>
          </w:p>
        </w:tc>
      </w:tr>
      <w:tr>
        <w:trPr>
          <w:trHeight w:val="324"/>
        </w:trPr>
        <w:tc>
          <w:tcPr>
            <w:tcW w:w="3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Needham &amp; Company</w:t>
            </w:r>
          </w:p>
        </w:tc>
        <w:tc>
          <w:tcPr>
            <w:tcW w:w="37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Roth Capital Partners</w:t>
            </w:r>
          </w:p>
        </w:tc>
      </w:tr>
      <w:tr>
        <w:trPr>
          <w:trHeight w:val="432"/>
        </w:trPr>
        <w:tc>
          <w:tcPr>
            <w:tcW w:w="3660" w:type="dxa"/>
            <w:vAlign w:val="bottom"/>
          </w:tcPr>
          <w:p>
            <w:pPr>
              <w:spacing w:after="0"/>
              <w:rPr>
                <w:sz w:val="24"/>
                <w:szCs w:val="24"/>
                <w:color w:val="auto"/>
              </w:rPr>
            </w:pPr>
          </w:p>
        </w:tc>
        <w:tc>
          <w:tcPr>
            <w:tcW w:w="37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September 15, 2025</w:t>
            </w:r>
          </w:p>
        </w:tc>
        <w:tc>
          <w:tcPr>
            <w:tcW w:w="3660" w:type="dxa"/>
            <w:vAlign w:val="bottom"/>
          </w:tcPr>
          <w:p>
            <w:pPr>
              <w:spacing w:after="0"/>
              <w:rPr>
                <w:sz w:val="24"/>
                <w:szCs w:val="24"/>
                <w:color w:val="auto"/>
              </w:rPr>
            </w:pPr>
          </w:p>
        </w:tc>
      </w:tr>
      <w:tr>
        <w:trPr>
          <w:trHeight w:val="277"/>
        </w:trPr>
        <w:tc>
          <w:tcPr>
            <w:tcW w:w="3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5" w:name="page56"/>
    <w:bookmarkEnd w:id="55"/>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Form 424(b)(5)</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4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340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12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1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or Carry</w:t>
            </w:r>
          </w:p>
        </w:tc>
        <w:tc>
          <w:tcPr>
            <w:tcW w:w="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34"/>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8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Rule</w:t>
            </w:r>
          </w:p>
        </w:tc>
        <w:tc>
          <w:tcPr>
            <w:tcW w:w="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30"/>
        </w:trPr>
        <w:tc>
          <w:tcPr>
            <w:tcW w:w="124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16"/>
        </w:trPr>
        <w:tc>
          <w:tcPr>
            <w:tcW w:w="12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Fees to Be Paid</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Equity </w:t>
            </w:r>
          </w:p>
        </w:tc>
        <w:tc>
          <w:tcPr>
            <w:tcW w:w="3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80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$114,825.00(1)</w:t>
            </w:r>
          </w:p>
        </w:tc>
      </w:tr>
      <w:tr>
        <w:trPr>
          <w:trHeight w:val="205"/>
        </w:trPr>
        <w:tc>
          <w:tcPr>
            <w:tcW w:w="124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Fees</w:t>
            </w:r>
          </w:p>
        </w:tc>
        <w:tc>
          <w:tcPr>
            <w:tcW w:w="66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6"/>
        </w:trPr>
        <w:tc>
          <w:tcPr>
            <w:tcW w:w="1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6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240" w:type="dxa"/>
            <w:vAlign w:val="bottom"/>
            <w:tcBorders>
              <w:left w:val="single" w:sz="8" w:color="auto"/>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5180" w:type="dxa"/>
            <w:vAlign w:val="bottom"/>
            <w:tcBorders>
              <w:bottom w:val="single" w:sz="8" w:color="auto"/>
              <w:right w:val="single" w:sz="8" w:color="CCEEFF"/>
            </w:tcBorders>
            <w:gridSpan w:val="4"/>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Carry Forward Securities</w:t>
            </w:r>
          </w:p>
        </w:tc>
        <w:tc>
          <w:tcPr>
            <w:tcW w:w="860" w:type="dxa"/>
            <w:vAlign w:val="bottom"/>
            <w:tcBorders>
              <w:bottom w:val="single" w:sz="8" w:color="auto"/>
              <w:right w:val="single" w:sz="8" w:color="CCEEFF"/>
            </w:tcBorders>
            <w:shd w:val="clear" w:color="auto" w:fill="CCEEFF"/>
          </w:tcPr>
          <w:p>
            <w:pPr>
              <w:spacing w:after="0"/>
              <w:rPr>
                <w:sz w:val="18"/>
                <w:szCs w:val="18"/>
                <w:color w:val="auto"/>
              </w:rPr>
            </w:pPr>
          </w:p>
        </w:tc>
        <w:tc>
          <w:tcPr>
            <w:tcW w:w="110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5"/>
        </w:trPr>
        <w:tc>
          <w:tcPr>
            <w:tcW w:w="124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Carry</w:t>
            </w:r>
          </w:p>
        </w:tc>
        <w:tc>
          <w:tcPr>
            <w:tcW w:w="66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6"/>
        </w:trPr>
        <w:tc>
          <w:tcPr>
            <w:tcW w:w="1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12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3400" w:type="dxa"/>
            <w:vAlign w:val="bottom"/>
            <w:tcBorders>
              <w:bottom w:val="single" w:sz="8" w:color="auto"/>
              <w:right w:val="single" w:sz="8" w:color="CCEEFF"/>
            </w:tcBorders>
            <w:shd w:val="clear" w:color="auto" w:fill="CCEEFF"/>
          </w:tcPr>
          <w:p>
            <w:pPr>
              <w:spacing w:after="0"/>
              <w:rPr>
                <w:sz w:val="18"/>
                <w:szCs w:val="18"/>
                <w:color w:val="auto"/>
              </w:rPr>
            </w:pPr>
          </w:p>
        </w:tc>
        <w:tc>
          <w:tcPr>
            <w:tcW w:w="17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Total Offering Amounts   </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$114,825.00</w:t>
            </w:r>
          </w:p>
        </w:tc>
      </w:tr>
      <w:tr>
        <w:trPr>
          <w:trHeight w:val="23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8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2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3400" w:type="dxa"/>
            <w:vAlign w:val="bottom"/>
            <w:tcBorders>
              <w:bottom w:val="single" w:sz="8" w:color="auto"/>
              <w:right w:val="single" w:sz="8" w:color="CCEEFF"/>
            </w:tcBorders>
            <w:shd w:val="clear" w:color="auto" w:fill="CCEEFF"/>
          </w:tcPr>
          <w:p>
            <w:pPr>
              <w:spacing w:after="0"/>
              <w:rPr>
                <w:sz w:val="18"/>
                <w:szCs w:val="18"/>
                <w:color w:val="auto"/>
              </w:rPr>
            </w:pPr>
          </w:p>
        </w:tc>
        <w:tc>
          <w:tcPr>
            <w:tcW w:w="17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1240" w:type="dxa"/>
            <w:vAlign w:val="bottom"/>
            <w:tcBorders>
              <w:left w:val="single" w:sz="8" w:color="auto"/>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Net Fee Due   </w:t>
            </w:r>
          </w:p>
        </w:tc>
        <w:tc>
          <w:tcPr>
            <w:tcW w:w="86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$114,825.00(1)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-1054100</wp:posOffset>
            </wp:positionV>
            <wp:extent cx="8255" cy="1054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8255" cy="1054735"/>
                    </a:xfrm>
                    <a:prstGeom prst="rect">
                      <a:avLst/>
                    </a:prstGeom>
                    <a:noFill/>
                  </pic:spPr>
                </pic:pic>
              </a:graphicData>
            </a:graphic>
          </wp:anchor>
        </w:drawing>
      </w:r>
    </w:p>
    <w:p>
      <w:pPr>
        <w:spacing w:after="0" w:line="205" w:lineRule="exact"/>
        <w:rPr>
          <w:sz w:val="20"/>
          <w:szCs w:val="20"/>
          <w:color w:val="auto"/>
        </w:rPr>
      </w:pPr>
    </w:p>
    <w:p>
      <w:pPr>
        <w:ind w:left="220" w:right="240" w:hanging="215"/>
        <w:spacing w:after="0" w:line="256" w:lineRule="auto"/>
        <w:rPr>
          <w:sz w:val="20"/>
          <w:szCs w:val="20"/>
          <w:color w:val="auto"/>
        </w:rPr>
      </w:pPr>
      <w:r>
        <w:rPr>
          <w:rFonts w:ascii="Times New Roman" w:cs="Times New Roman" w:eastAsia="Times New Roman" w:hAnsi="Times New Roman"/>
          <w:sz w:val="18"/>
          <w:szCs w:val="18"/>
          <w:color w:val="auto"/>
        </w:rPr>
        <w:t>(1)The registration fee is calculated in accordance with Rule 457(o) under the Securities Act of 1933, as amended (the “Securities Act”), based on the proposed maximum aggregate offering price. In accordance with Rules 456(b) and 457(r) under the Securities Act, Rocket Lab USA, Inc. (the “Predecessor Registrant”) initially deferred payment of all of the registration fees for the Registration Statement on Form S-3 (Registration No. 333-285707) filed with the Securities and Exchange Commission on March 11, 2025 (as amended, the “Registration Statement”). Rocket Lab Corporation became the successor to the Predecessor Registrant on May 23, 2025. This “Calculation of Filing Fee Tables” shall be deemed to update the “Calculation of Registration Fee Tables”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Letter"/>
      <w:start w:val="4"/>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jpe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jpe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35" Type="http://schemas.openxmlformats.org/officeDocument/2006/relationships/hyperlink" Target="http://www.sec.gov/Archives/edgar/data/1819994/000162828025008724/rklb-20241231.htm" TargetMode="External"/><Relationship Id="rId36" Type="http://schemas.openxmlformats.org/officeDocument/2006/relationships/hyperlink" Target="http://www.sec.gov/Archives/edgar/data/1819994/000162828025021054/rklb-20241231.htm" TargetMode="External"/><Relationship Id="rId37" Type="http://schemas.openxmlformats.org/officeDocument/2006/relationships/hyperlink" Target="http://www.sec.gov/Archives/edgar/data/1819994/000162828025023857/rklb-20250331.htm" TargetMode="External"/><Relationship Id="rId38" Type="http://schemas.openxmlformats.org/officeDocument/2006/relationships/hyperlink" Target="http://www.sec.gov/Archives/edgar/data/1819994/000162828025038936/0001628280-25-038936-index.htm" TargetMode="External"/><Relationship Id="rId39" Type="http://schemas.openxmlformats.org/officeDocument/2006/relationships/hyperlink" Target="http://www.sec.gov/Archives/edgar/data/0001819994/000175392625001284/g084916_8k.htm" TargetMode="External"/><Relationship Id="rId40" Type="http://schemas.openxmlformats.org/officeDocument/2006/relationships/hyperlink" Target="http://www.sec.gov/Archives/edgar/data/0001819994/000162828025041402/rklb-20250825.htm" TargetMode="External"/><Relationship Id="rId41" Type="http://schemas.openxmlformats.org/officeDocument/2006/relationships/hyperlink" Target="http://www.sec.gov/Archives/edgar/data/1819994/000162828025027473/rklb-20250523.htm" TargetMode="External"/><Relationship Id="rId78" Type="http://schemas.openxmlformats.org/officeDocument/2006/relationships/hyperlink" Target="http://www.sec.gov/Archives/edgar/data/0001819994/000162828025001137/rklb-20250107.htm" TargetMode="External"/><Relationship Id="rId79" Type="http://schemas.openxmlformats.org/officeDocument/2006/relationships/hyperlink" Target="http://www.sec.gov/Archives/edgar/data/1819994/000110465920108236/tm2026739d9_8a12b.htm" TargetMode="External"/><Relationship Id="rId80" Type="http://schemas.openxmlformats.org/officeDocument/2006/relationships/hyperlink" Target="http://www.sec.gov/Archives/edgar/data/1819994/000162828025008724/rklb-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2025-09-15T15:11:57Z</dcterms:created>
  <dcterms:modified xsi:type="dcterms:W3CDTF">2025-09-15T15:11:57Z</dcterms:modified>
</cp:coreProperties>
</file>