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Kampani Arjun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3881 MCGOWEN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Lab Corp</w:t>
              </w:r>
            </w:hyperlink>
            <w:r>
              <w:rPr/>
              <w:t xml:space="preserve"> [ </w:t>
            </w:r>
            <w:r>
              <w:rPr>
                <w:rFonts w:ascii="Times;serif" w:hAnsi="Times;serif"/>
                <w:color w:val="0000FF"/>
                <w:sz w:val="24"/>
                <w:shd w:fill="FFFFFF" w:val="clear"/>
              </w:rPr>
              <w:t>RKLB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66.4961</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252,351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1,434</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67.1579</w:t>
            </w:r>
            <w:r>
              <w:rPr>
                <w:rFonts w:ascii="Times;serif" w:hAnsi="Times;serif"/>
                <w:color w:val="008000"/>
                <w:position w:val="7"/>
                <w:sz w:val="16"/>
                <w:sz w:val="20"/>
                <w:shd w:fill="FFFFFF" w:val="clear"/>
              </w:rPr>
              <w:t>(3)</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250,917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which occurred automatically pursuant to a Rule 10b5-1 trading plan adopted by the Reporting Person on September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These shares were sold in multiple transactions at prices ranging from $65.8400 to $66.8100.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weighted-average price. These shares were sold in multiple transactions at prices ranging from $66.8400 to $67.5400.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/s/Arjun Kampani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71507" TargetMode="External"/><Relationship Id="rId5" Type="http://schemas.openxmlformats.org/officeDocument/2006/relationships/hyperlink" Target="http://www.sec.gov/cgi-bin/browse-edgar?action=getcompany&amp;CIK=00018199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733</Words>
  <Characters>3983</Characters>
  <CharactersWithSpaces>4639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