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Spice Adam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3881 MCGOWEN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Rocket Lab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RKLB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60" w:type="dxa"/>
            <w:vAlign w:val="bottom"/>
            <w:tcBorders>
              <w:bottom w:val="single" w:sz="8" w:color="9A9A9A"/>
            </w:tcBorders>
          </w:tcPr>
          <w:p>
            <w:pPr>
              <w:spacing w:after="0"/>
              <w:rPr>
                <w:sz w:val="3"/>
                <w:szCs w:val="3"/>
                <w:color w:val="auto"/>
              </w:rPr>
            </w:pPr>
          </w:p>
        </w:tc>
        <w:tc>
          <w:tcPr>
            <w:tcW w:w="168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60" w:type="dxa"/>
            <w:vAlign w:val="bottom"/>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8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90808</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275,319</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w:t>
            </w:r>
          </w:p>
        </w:tc>
        <w:tc>
          <w:tcPr>
            <w:tcW w:w="1200" w:type="dxa"/>
            <w:vAlign w:val="bottom"/>
            <w:tcBorders>
              <w:bottom w:val="single" w:sz="8" w:color="2C2C2C"/>
            </w:tcBorders>
            <w:gridSpan w:val="2"/>
          </w:tcPr>
          <w:p>
            <w:pPr>
              <w:jc w:val="right"/>
              <w:ind w:right="220"/>
              <w:spacing w:after="0"/>
              <w:rPr>
                <w:sz w:val="20"/>
                <w:szCs w:val="20"/>
                <w:color w:val="auto"/>
              </w:rPr>
            </w:pPr>
            <w:r>
              <w:rPr>
                <w:rFonts w:ascii="Times New Roman" w:cs="Times New Roman" w:eastAsia="Times New Roman" w:hAnsi="Times New Roman"/>
                <w:sz w:val="17"/>
                <w:szCs w:val="17"/>
                <w:color w:val="0000FF"/>
              </w:rPr>
              <w:t>1,195,644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250,000</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to the Reporting Person under the Rocket Lab Corporation 2021 Stock Option and Incentive Plan. Such RSUs will vest as follows: 1/16 of the RSUs will vest on August 22, 2026 and 1/16 of the RSUs will vest on each March 1st, May 22nd, August 22nd or November 22nd thereafter, in each case subject to the Reporting Person's continuous service as an employee through each applicable vesting date.</w:t>
      </w: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By: /s/ Arjun Kampani,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51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5189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Adam</w:t>
        <w:tab/>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Spice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444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4475"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09421" TargetMode="External"/><Relationship Id="rId14" Type="http://schemas.openxmlformats.org/officeDocument/2006/relationships/hyperlink" Target="http://www.sec.gov/cgi-bin/browse-edgar?action=getcompany&amp;CIK=0001819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2026-06-05T17:20:39Z</dcterms:created>
  <dcterms:modified xsi:type="dcterms:W3CDTF">2026-06-05T17:20:39Z</dcterms:modified>
</cp:coreProperties>
</file>