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Frank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3881 MCGOWEN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Lab Corp</w:t>
              </w:r>
            </w:hyperlink>
            <w:r>
              <w:rPr/>
              <w:t xml:space="preserve"> [ </w:t>
            </w:r>
            <w:r>
              <w:rPr>
                <w:rFonts w:ascii="Times;serif" w:hAnsi="Times;serif"/>
                <w:color w:val="0000FF"/>
                <w:sz w:val="24"/>
                <w:shd w:fill="FFFFFF" w:val="clear"/>
              </w:rPr>
              <w:t>RKLB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42,270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69.5345</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1,368</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70.2023</w:t>
            </w:r>
            <w:r>
              <w:rPr>
                <w:rFonts w:ascii="Times;serif" w:hAnsi="Times;serif"/>
                <w:color w:val="008000"/>
                <w:position w:val="7"/>
                <w:sz w:val="16"/>
                <w:sz w:val="20"/>
                <w:shd w:fill="FFFFFF" w:val="clear"/>
              </w:rPr>
              <w:t>(3)</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963,349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2,054</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71.17</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961,295</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pursuant to a "sell-to-cover" transaction pursuant to a Rule 10b5-1 election adopted by the Reporting Person in order to satisfy applicable tax withholding obligations in connection with the vesting and settlement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These shares were sold in multiple transactions at prices ranging from $69.0000 to $69.9900.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weighted-average price. These shares were sold in multiple transactions at prices ranging from $70.0000 to $70.6400.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Arjun Kampani, as Attorney-in-Fact For: Frank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7530" TargetMode="External"/><Relationship Id="rId5" Type="http://schemas.openxmlformats.org/officeDocument/2006/relationships/hyperlink" Target="http://www.sec.gov/cgi-bin/browse-edgar?action=getcompany&amp;CIK=0001819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4206</Characters>
  <CharactersWithSpaces>4891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